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51C468">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15</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506594</w:t>
      </w:r>
      <w:bookmarkStart w:id="8" w:name="_GoBack"/>
      <w:bookmarkEnd w:id="8"/>
      <w:r>
        <w:rPr>
          <w:b/>
          <w:sz w:val="24"/>
          <w:szCs w:val="24"/>
          <w:highlight w:val="none"/>
        </w:rPr>
        <w:t xml:space="preserve">           </w:t>
      </w:r>
    </w:p>
    <w:bookmarkEnd w:id="0"/>
    <w:bookmarkEnd w:id="1"/>
    <w:p w14:paraId="5C25862B">
      <w:pPr>
        <w:pStyle w:val="7"/>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Malta, MT, 19</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 xml:space="preserve"> – 23</w:t>
      </w:r>
      <w:r>
        <w:rPr>
          <w:rFonts w:hint="default" w:ascii="Times New Roman" w:hAnsi="Times New Roman" w:eastAsia="宋体" w:cs="Times New Roman"/>
          <w:b/>
          <w:sz w:val="24"/>
          <w:szCs w:val="24"/>
          <w:vertAlign w:val="superscript"/>
          <w:lang w:eastAsia="zh-CN"/>
        </w:rPr>
        <w:t>rd</w:t>
      </w:r>
      <w:r>
        <w:rPr>
          <w:rFonts w:hint="default" w:ascii="Times New Roman" w:hAnsi="Times New Roman" w:eastAsia="宋体" w:cs="Times New Roman"/>
          <w:b/>
          <w:sz w:val="24"/>
          <w:szCs w:val="24"/>
          <w:lang w:eastAsia="zh-CN"/>
        </w:rPr>
        <w:t xml:space="preserve"> May</w:t>
      </w:r>
      <w:r>
        <w:rPr>
          <w:rFonts w:hint="default" w:ascii="Times New Roman" w:hAnsi="Times New Roman" w:cs="Times New Roman"/>
          <w:b/>
          <w:bCs/>
          <w:sz w:val="24"/>
          <w:highlight w:val="none"/>
        </w:rPr>
        <w:t>, 2025</w:t>
      </w:r>
    </w:p>
    <w:p w14:paraId="0A2D8ED6">
      <w:pPr>
        <w:tabs>
          <w:tab w:val="left" w:pos="1985"/>
        </w:tabs>
        <w:rPr>
          <w:rFonts w:ascii="Times New Roman" w:hAnsi="Times New Roman"/>
          <w:b/>
          <w:sz w:val="22"/>
          <w:highlight w:val="none"/>
        </w:rPr>
      </w:pPr>
    </w:p>
    <w:p w14:paraId="47425116">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25</w:t>
      </w:r>
      <w:r>
        <w:rPr>
          <w:rFonts w:hint="eastAsia" w:ascii="Times New Roman" w:hAnsi="Times New Roman"/>
          <w:sz w:val="22"/>
          <w:highlight w:val="none"/>
        </w:rPr>
        <w:t>.</w:t>
      </w:r>
      <w:r>
        <w:rPr>
          <w:rFonts w:hint="eastAsia" w:ascii="Times New Roman" w:hAnsi="Times New Roman"/>
          <w:sz w:val="22"/>
          <w:highlight w:val="none"/>
          <w:lang w:val="en-US" w:eastAsia="zh-CN"/>
        </w:rPr>
        <w:t>4.2</w:t>
      </w:r>
    </w:p>
    <w:p w14:paraId="63BA8077">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458555D9">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7"/>
      <w:bookmarkStart w:id="5" w:name="OLE_LINK8"/>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RRM impacts for SBFD operation</w:t>
      </w:r>
    </w:p>
    <w:bookmarkEnd w:id="4"/>
    <w:bookmarkEnd w:id="5"/>
    <w:p w14:paraId="361B4427">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5EFE9002">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30BD707">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#104 meeting, the revised WID on SBFD was approved [1]. According to the WID, the objectives having RAN4 impact are duplicated as following.</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9701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3C5A82DE">
            <w:pPr>
              <w:numPr>
                <w:ilvl w:val="1"/>
                <w:numId w:val="3"/>
              </w:numPr>
              <w:tabs>
                <w:tab w:val="left" w:pos="72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Specify enhancements for CLI handling [RAN1, RAN2, RAN3, RAN4]</w:t>
            </w:r>
          </w:p>
          <w:p w14:paraId="0BC64F07">
            <w:pPr>
              <w:numPr>
                <w:ilvl w:val="2"/>
                <w:numId w:val="3"/>
              </w:numPr>
              <w:tabs>
                <w:tab w:val="left" w:pos="720"/>
                <w:tab w:val="left" w:pos="144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Information exchange among gNBs, including [RAN3]</w:t>
            </w:r>
          </w:p>
          <w:p w14:paraId="16B5A8B4">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Semi-static cell-specific SBFD time and frequency location configuration </w:t>
            </w:r>
          </w:p>
          <w:p w14:paraId="42DC58CD">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Measurement resource configuration, i.e., SSB and/or periodic NZP CSI-RS </w:t>
            </w:r>
          </w:p>
          <w:p w14:paraId="3A182EF1">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Strongest DL beam information</w:t>
            </w:r>
          </w:p>
          <w:p w14:paraId="2AF6C4DD">
            <w:pPr>
              <w:numPr>
                <w:ilvl w:val="3"/>
                <w:numId w:val="3"/>
              </w:numPr>
              <w:tabs>
                <w:tab w:val="left" w:pos="72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CLI-mitigation request</w:t>
            </w:r>
          </w:p>
          <w:p w14:paraId="083EF58F">
            <w:pPr>
              <w:numPr>
                <w:ilvl w:val="2"/>
                <w:numId w:val="3"/>
              </w:numPr>
              <w:tabs>
                <w:tab w:val="left" w:pos="144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UL resource muting for PUSCH, including [RAN1, RAN2, RAN4] </w:t>
            </w:r>
          </w:p>
          <w:p w14:paraId="1BF5CEF6">
            <w:pPr>
              <w:numPr>
                <w:ilvl w:val="3"/>
                <w:numId w:val="3"/>
              </w:numPr>
              <w:tabs>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Indication/determination of UL resource muting for PUSCH based on semi-static configuration, assuming comb-2 for both DFT-S-OFDM and CP-OFDM in each allocated PRB and up to 2 symbols in time domain</w:t>
            </w:r>
          </w:p>
          <w:p w14:paraId="06E2C3D6">
            <w:pPr>
              <w:numPr>
                <w:ilvl w:val="3"/>
                <w:numId w:val="3"/>
              </w:numPr>
              <w:tabs>
                <w:tab w:val="left" w:pos="144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PUSCH resource mapping, i.e., rate-matching around the muted REs</w:t>
            </w:r>
          </w:p>
          <w:p w14:paraId="1D29FE4A">
            <w:pPr>
              <w:numPr>
                <w:ilvl w:val="3"/>
                <w:numId w:val="3"/>
              </w:numPr>
              <w:tabs>
                <w:tab w:val="left" w:pos="144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UCI resource determination in symbols with muted REs</w:t>
            </w:r>
          </w:p>
          <w:p w14:paraId="32525E89">
            <w:pPr>
              <w:numPr>
                <w:ilvl w:val="2"/>
                <w:numId w:val="3"/>
              </w:numPr>
              <w:tabs>
                <w:tab w:val="left" w:pos="144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L1 based UE-to-UE CLI measurement and reporting based on existing CSI framework, including [RAN1, RAN2, RAN4]</w:t>
            </w:r>
          </w:p>
          <w:p w14:paraId="7F62470D">
            <w:pPr>
              <w:numPr>
                <w:ilvl w:val="3"/>
                <w:numId w:val="3"/>
              </w:numPr>
              <w:tabs>
                <w:tab w:val="clear" w:pos="288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Periodic, semi-persistent, or aperiodic measurement resource (set), i.e., SRS-RSRP resource or CLI-RSSI resource, and configuration/determination of ‘typeD’ QCL assumptions for the CLI measurement resource</w:t>
            </w:r>
          </w:p>
          <w:p w14:paraId="6259B81D">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At least aperiodic reporting</w:t>
            </w:r>
          </w:p>
          <w:p w14:paraId="0303598C">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New report quantities, e.g., L1-SRS-RSRP, L1-CLI-RSSI and/or measurement resource indices</w:t>
            </w:r>
          </w:p>
          <w:p w14:paraId="48B98CF7">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UCI bits generation </w:t>
            </w:r>
          </w:p>
          <w:p w14:paraId="7E856A26">
            <w:pPr>
              <w:numPr>
                <w:ilvl w:val="3"/>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Priority rules for multiple CSI reporting</w:t>
            </w:r>
          </w:p>
          <w:p w14:paraId="2DAA3971">
            <w:pPr>
              <w:numPr>
                <w:ilvl w:val="3"/>
                <w:numId w:val="3"/>
              </w:numPr>
              <w:tabs>
                <w:tab w:val="left" w:pos="1440"/>
                <w:tab w:val="left" w:pos="2160"/>
              </w:tabs>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cs="Times New Roman"/>
                <w:sz w:val="20"/>
                <w:szCs w:val="20"/>
                <w:lang w:val="en-US" w:eastAsia="zh-CN"/>
              </w:rPr>
              <w:t>CLI measurement accuracy requirement</w:t>
            </w:r>
          </w:p>
          <w:p w14:paraId="7F435FB2">
            <w:pPr>
              <w:numPr>
                <w:ilvl w:val="2"/>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 xml:space="preserve">Note: Without dedicated optimization for dynamic/flexible TDD. </w:t>
            </w:r>
          </w:p>
          <w:p w14:paraId="34B1F528">
            <w:pPr>
              <w:numPr>
                <w:ilvl w:val="0"/>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Specify BS RF requirements for SBFD operation at gNB [RAN4]</w:t>
            </w:r>
          </w:p>
          <w:p w14:paraId="38D03919">
            <w:pPr>
              <w:numPr>
                <w:ilvl w:val="0"/>
                <w:numId w:val="3"/>
              </w:numPr>
              <w:overflowPunct/>
              <w:autoSpaceDE/>
              <w:autoSpaceDN/>
              <w:adjustRightInd/>
              <w:spacing w:after="160" w:line="256" w:lineRule="auto"/>
              <w:ind w:right="-99"/>
              <w:textAlignment w:val="auto"/>
              <w:rPr>
                <w:rFonts w:hint="default" w:ascii="Times New Roman" w:hAnsi="Times New Roman" w:eastAsia="Malgun Gothic" w:cs="Times New Roman"/>
                <w:sz w:val="20"/>
                <w:szCs w:val="20"/>
                <w:lang w:val="en-US" w:eastAsia="ko-KR"/>
              </w:rPr>
            </w:pPr>
            <w:r>
              <w:rPr>
                <w:rFonts w:hint="default" w:ascii="Times New Roman" w:hAnsi="Times New Roman" w:eastAsia="Malgun Gothic" w:cs="Times New Roman"/>
                <w:sz w:val="20"/>
                <w:szCs w:val="20"/>
                <w:lang w:val="en-US" w:eastAsia="ko-KR"/>
              </w:rPr>
              <w:t>Specify applicable RRM core requirements for CLI handling mechanisms [RAN4]</w:t>
            </w:r>
          </w:p>
          <w:p w14:paraId="6F1102B9">
            <w:pPr>
              <w:numPr>
                <w:ilvl w:val="0"/>
                <w:numId w:val="3"/>
              </w:numPr>
              <w:overflowPunct/>
              <w:autoSpaceDE/>
              <w:autoSpaceDN/>
              <w:adjustRightInd/>
              <w:spacing w:after="160" w:line="256" w:lineRule="auto"/>
              <w:ind w:right="-99"/>
              <w:textAlignment w:val="auto"/>
              <w:rPr>
                <w:rFonts w:hint="default" w:ascii="Times New Roman" w:hAnsi="Times New Roman" w:cs="Times New Roman"/>
                <w:sz w:val="20"/>
                <w:szCs w:val="20"/>
                <w:vertAlign w:val="baseline"/>
                <w:lang w:val="en-US" w:eastAsia="zh-CN"/>
              </w:rPr>
            </w:pPr>
            <w:r>
              <w:rPr>
                <w:rFonts w:hint="default" w:ascii="Times New Roman" w:hAnsi="Times New Roman" w:eastAsia="Malgun Gothic" w:cs="Times New Roman"/>
                <w:sz w:val="20"/>
                <w:szCs w:val="20"/>
                <w:lang w:val="en-US" w:eastAsia="ko-KR"/>
              </w:rPr>
              <w:t>Specify other RRM core requirements for SBFD operation, if identified [RAN4]</w:t>
            </w:r>
          </w:p>
        </w:tc>
      </w:tr>
    </w:tbl>
    <w:p w14:paraId="428D4D87">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meeting, there was discussion on SBFD, and a WF was agreed [2].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RRM impacts for SBFD operation</w:t>
      </w:r>
      <w:r>
        <w:rPr>
          <w:rFonts w:hint="eastAsia" w:ascii="Times New Roman" w:hAnsi="Times New Roman"/>
          <w:bCs/>
          <w:iCs/>
          <w:sz w:val="20"/>
          <w:szCs w:val="20"/>
        </w:rPr>
        <w:t>.</w:t>
      </w:r>
    </w:p>
    <w:p w14:paraId="0B733EF3">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4F80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AF39CFD">
            <w:pPr>
              <w:keepNext/>
              <w:keepLines/>
              <w:numPr>
                <w:ilvl w:val="3"/>
                <w:numId w:val="0"/>
              </w:numPr>
              <w:spacing w:before="120"/>
              <w:outlineLvl w:val="3"/>
              <w:rPr>
                <w:rFonts w:hint="default" w:ascii="Times New Roman" w:hAnsi="Times New Roman" w:cs="Times New Roman"/>
                <w:sz w:val="20"/>
                <w:szCs w:val="20"/>
                <w:lang w:val="sv-SE" w:eastAsia="zh-CN"/>
              </w:rPr>
            </w:pPr>
            <w:r>
              <w:rPr>
                <w:rFonts w:hint="default" w:ascii="Times New Roman" w:hAnsi="Times New Roman" w:cs="Times New Roman"/>
                <w:sz w:val="20"/>
                <w:szCs w:val="20"/>
                <w:lang w:val="sv-SE" w:eastAsia="zh-CN"/>
              </w:rPr>
              <w:t xml:space="preserve">Issue 2-1-1a: CSI-RS L1 measurement – collision with UL </w:t>
            </w:r>
          </w:p>
          <w:p w14:paraId="1C90AF57">
            <w:pPr>
              <w:numPr>
                <w:ilvl w:val="0"/>
                <w:numId w:val="4"/>
              </w:numPr>
              <w:spacing w:after="120"/>
              <w:ind w:left="720"/>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Agreements (adhoc session on Thursday)</w:t>
            </w:r>
          </w:p>
          <w:p w14:paraId="7A1B973E">
            <w:pPr>
              <w:numPr>
                <w:ilvl w:val="1"/>
                <w:numId w:val="4"/>
              </w:numPr>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Dynamically scheduled UL transmission is prioritized over periodic/semi-persistent CSI-RS resource for L1-RSRP/SINR and RLM/BFD/CBD measurement.</w:t>
            </w:r>
          </w:p>
          <w:p w14:paraId="0F860FED">
            <w:pPr>
              <w:numPr>
                <w:ilvl w:val="1"/>
                <w:numId w:val="4"/>
              </w:numPr>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Measurement period for periodic/semi-persistent CSI-RS based L1-RSRP/SINR and RLM/BFD/CBD is extended for collision with dynamically scheduled UL transmission following the R16 NR-U approach. </w:t>
            </w:r>
          </w:p>
          <w:p w14:paraId="6A45A5CC">
            <w:pPr>
              <w:keepNext/>
              <w:keepLines/>
              <w:numPr>
                <w:ilvl w:val="3"/>
                <w:numId w:val="0"/>
              </w:numPr>
              <w:spacing w:before="120"/>
              <w:ind w:left="864" w:hanging="864"/>
              <w:outlineLvl w:val="3"/>
              <w:rPr>
                <w:rFonts w:hint="default" w:ascii="Times New Roman" w:hAnsi="Times New Roman" w:cs="Times New Roman"/>
                <w:sz w:val="20"/>
                <w:szCs w:val="20"/>
                <w:lang w:val="sv-SE" w:eastAsia="zh-CN"/>
              </w:rPr>
            </w:pPr>
            <w:r>
              <w:rPr>
                <w:rFonts w:hint="default" w:ascii="Times New Roman" w:hAnsi="Times New Roman" w:cs="Times New Roman"/>
                <w:sz w:val="20"/>
                <w:szCs w:val="20"/>
                <w:lang w:val="sv-SE" w:eastAsia="zh-CN"/>
              </w:rPr>
              <w:t xml:space="preserve">Issue 2-1-1b: CSI-RS L1 measurement – puncturing in frequency domain </w:t>
            </w:r>
          </w:p>
          <w:p w14:paraId="12D2C175">
            <w:pPr>
              <w:numPr>
                <w:ilvl w:val="0"/>
                <w:numId w:val="4"/>
              </w:numPr>
              <w:spacing w:after="120"/>
              <w:ind w:left="720"/>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 xml:space="preserve">Background: </w:t>
            </w:r>
          </w:p>
          <w:p w14:paraId="311AAEAF">
            <w:pPr>
              <w:numPr>
                <w:ilvl w:val="1"/>
                <w:numId w:val="4"/>
              </w:numPr>
              <w:spacing w:after="120"/>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Different cases for DUD</w:t>
            </w:r>
          </w:p>
          <w:p w14:paraId="0012881A">
            <w:pPr>
              <w:numPr>
                <w:ilvl w:val="2"/>
                <w:numId w:val="4"/>
              </w:numPr>
              <w:spacing w:after="120"/>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Case 1: X1 &gt;= X3 and X2 &gt;= X3</w:t>
            </w:r>
          </w:p>
          <w:p w14:paraId="61FC0364">
            <w:pPr>
              <w:numPr>
                <w:ilvl w:val="2"/>
                <w:numId w:val="4"/>
              </w:numPr>
              <w:spacing w:after="120"/>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Case 2: X1 &gt;= X3 and X2 &lt; X3</w:t>
            </w:r>
          </w:p>
          <w:p w14:paraId="1C1B0B24">
            <w:pPr>
              <w:numPr>
                <w:ilvl w:val="2"/>
                <w:numId w:val="4"/>
              </w:numPr>
              <w:spacing w:after="120"/>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Case 3: X1 &lt; X3 and X2 &lt; X3, (X1 + X2) &gt;= X3</w:t>
            </w:r>
          </w:p>
          <w:p w14:paraId="6B9BA736">
            <w:pPr>
              <w:numPr>
                <w:ilvl w:val="2"/>
                <w:numId w:val="4"/>
              </w:numPr>
              <w:spacing w:after="120"/>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where X1 and X2 are CSI-RS BW in DL sub-band #1 and sub-band #2, and X3 is the min BW with which the existing accuracy requirements apply (X3=48 for L1-RSRP/L1-SINR and X3=24 for RLM/BFD/CBD).</w:t>
            </w:r>
          </w:p>
          <w:p w14:paraId="77282C1B">
            <w:pPr>
              <w:numPr>
                <w:ilvl w:val="1"/>
                <w:numId w:val="4"/>
              </w:numPr>
              <w:spacing w:after="120"/>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RAN1 agreements related to CSI processing time</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5"/>
            </w:tblGrid>
            <w:tr w14:paraId="5BF90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13FEF4E1">
                  <w:pPr>
                    <w:overflowPunct w:val="0"/>
                    <w:autoSpaceDE w:val="0"/>
                    <w:autoSpaceDN w:val="0"/>
                    <w:adjustRightInd w:val="0"/>
                    <w:jc w:val="both"/>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b/>
                      <w:bCs/>
                      <w:sz w:val="20"/>
                      <w:szCs w:val="20"/>
                    </w:rPr>
                    <w:t>Agreement [RAN1#118b]</w:t>
                  </w:r>
                </w:p>
                <w:p w14:paraId="37051270">
                  <w:pPr>
                    <w:overflowPunct w:val="0"/>
                    <w:autoSpaceDE w:val="0"/>
                    <w:autoSpaceDN w:val="0"/>
                    <w:adjustRightInd w:val="0"/>
                    <w:jc w:val="both"/>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For CSI processing timeline in SBFD symbols to process the CSI-RS across two DL subbands,</w:t>
                  </w:r>
                </w:p>
                <w:p w14:paraId="58A11D17">
                  <w:pPr>
                    <w:widowControl w:val="0"/>
                    <w:numPr>
                      <w:ilvl w:val="0"/>
                      <w:numId w:val="5"/>
                    </w:numPr>
                    <w:overflowPunct w:val="0"/>
                    <w:autoSpaceDE w:val="0"/>
                    <w:autoSpaceDN w:val="0"/>
                    <w:adjustRightInd w:val="0"/>
                    <w:spacing w:after="0"/>
                    <w:jc w:val="both"/>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Option 3: It is up to UE capability to indicate one of the following: </w:t>
                  </w:r>
                </w:p>
                <w:p w14:paraId="37E5E35B">
                  <w:pPr>
                    <w:widowControl w:val="0"/>
                    <w:numPr>
                      <w:ilvl w:val="1"/>
                      <w:numId w:val="5"/>
                    </w:numPr>
                    <w:overflowPunct w:val="0"/>
                    <w:autoSpaceDE w:val="0"/>
                    <w:autoSpaceDN w:val="0"/>
                    <w:adjustRightInd w:val="0"/>
                    <w:spacing w:after="0"/>
                    <w:jc w:val="both"/>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CSI processing timeline and CPU counting are the same as legacy.</w:t>
                  </w:r>
                </w:p>
                <w:p w14:paraId="094FF866">
                  <w:pPr>
                    <w:widowControl w:val="0"/>
                    <w:numPr>
                      <w:ilvl w:val="1"/>
                      <w:numId w:val="5"/>
                    </w:numPr>
                    <w:overflowPunct w:val="0"/>
                    <w:autoSpaceDE w:val="0"/>
                    <w:autoSpaceDN w:val="0"/>
                    <w:adjustRightInd w:val="0"/>
                    <w:spacing w:after="0"/>
                    <w:jc w:val="both"/>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Scale the CSI processing timeline Z/Z’ by factor of 2 and keep the same CPU counting as legacy.</w:t>
                  </w:r>
                </w:p>
              </w:tc>
            </w:tr>
          </w:tbl>
          <w:p w14:paraId="57C95752">
            <w:pPr>
              <w:spacing w:after="120"/>
              <w:ind w:left="720"/>
              <w:rPr>
                <w:rFonts w:hint="default" w:ascii="Times New Roman" w:hAnsi="Times New Roman" w:cs="Times New Roman"/>
                <w:color w:val="0070C0"/>
                <w:sz w:val="20"/>
                <w:szCs w:val="20"/>
                <w:lang w:eastAsia="zh-CN"/>
              </w:rPr>
            </w:pPr>
          </w:p>
          <w:p w14:paraId="4A97A6F9">
            <w:pPr>
              <w:numPr>
                <w:ilvl w:val="0"/>
                <w:numId w:val="4"/>
              </w:numPr>
              <w:spacing w:after="120"/>
              <w:ind w:left="720"/>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Agreements (adhoc session on Thursday with additions)</w:t>
            </w:r>
          </w:p>
          <w:p w14:paraId="4D95177E">
            <w:pPr>
              <w:pStyle w:val="11"/>
              <w:numPr>
                <w:ilvl w:val="1"/>
                <w:numId w:val="4"/>
              </w:numPr>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Note: the following are for UE that can support simultaneous PDSCH reception on the two DL subbands for DUD</w:t>
            </w:r>
          </w:p>
          <w:p w14:paraId="2A8FF56F">
            <w:pPr>
              <w:pStyle w:val="11"/>
              <w:numPr>
                <w:ilvl w:val="1"/>
                <w:numId w:val="4"/>
              </w:numPr>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Existing delay (number of samples) requirements and accuracy requirements apply for Case 1 and Case 2</w:t>
            </w:r>
          </w:p>
          <w:p w14:paraId="073D48CF">
            <w:pPr>
              <w:pStyle w:val="11"/>
              <w:numPr>
                <w:ilvl w:val="1"/>
                <w:numId w:val="4"/>
              </w:numPr>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If UE indicates that CSI processing time is scaled by 2, further discuss whether and how to update the delay requirements</w:t>
            </w:r>
          </w:p>
          <w:p w14:paraId="551EDCB4">
            <w:pPr>
              <w:pStyle w:val="11"/>
              <w:numPr>
                <w:ilvl w:val="2"/>
                <w:numId w:val="4"/>
              </w:numPr>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Option 1: </w:t>
            </w:r>
            <w:r>
              <w:rPr>
                <w:rFonts w:hint="default" w:ascii="Times New Roman" w:hAnsi="Times New Roman" w:eastAsia="宋体" w:cs="Times New Roman"/>
                <w:sz w:val="20"/>
                <w:szCs w:val="20"/>
                <w:highlight w:val="none"/>
                <w:lang w:eastAsia="zh-CN"/>
              </w:rPr>
              <w:t>Add a lower bound of 8ms on top of existing delay requirements.</w:t>
            </w:r>
          </w:p>
          <w:p w14:paraId="1C05C560">
            <w:pPr>
              <w:pStyle w:val="11"/>
              <w:numPr>
                <w:ilvl w:val="2"/>
                <w:numId w:val="4"/>
              </w:numPr>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 other</w:t>
            </w:r>
          </w:p>
          <w:p w14:paraId="0D78559F">
            <w:pPr>
              <w:pStyle w:val="11"/>
              <w:numPr>
                <w:ilvl w:val="1"/>
                <w:numId w:val="4"/>
              </w:numPr>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Case 3</w:t>
            </w:r>
          </w:p>
          <w:p w14:paraId="41CBDA11">
            <w:pPr>
              <w:pStyle w:val="11"/>
              <w:numPr>
                <w:ilvl w:val="2"/>
                <w:numId w:val="4"/>
              </w:numPr>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L1-RSRP and L1-SINR, existing delay requirements apply and accuracy requirements are relaxed provided that X1 &gt; X4 or X2 &gt; X4, where the accuracy requirements depend on the X4 = 24 PRBs</w:t>
            </w:r>
          </w:p>
          <w:p w14:paraId="222D4DB0">
            <w:pPr>
              <w:pStyle w:val="11"/>
              <w:numPr>
                <w:ilvl w:val="3"/>
                <w:numId w:val="4"/>
              </w:numPr>
              <w:ind w:firstLineChars="0"/>
              <w:rPr>
                <w:rFonts w:hint="default" w:ascii="Times New Roman" w:hAnsi="Times New Roman" w:cs="Times New Roman"/>
                <w:sz w:val="20"/>
                <w:szCs w:val="20"/>
                <w:highlight w:val="none"/>
                <w:vertAlign w:val="baseline"/>
                <w:lang w:val="en-US" w:eastAsia="zh-CN"/>
              </w:rPr>
            </w:pPr>
            <w:r>
              <w:rPr>
                <w:rFonts w:hint="default" w:ascii="Times New Roman" w:hAnsi="Times New Roman" w:eastAsia="宋体" w:cs="Times New Roman"/>
                <w:sz w:val="20"/>
                <w:szCs w:val="20"/>
                <w:lang w:eastAsia="zh-CN"/>
              </w:rPr>
              <w:t>In the test case, not model the interfering UE.</w:t>
            </w:r>
          </w:p>
        </w:tc>
      </w:tr>
    </w:tbl>
    <w:p w14:paraId="4995656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highlight w:val="none"/>
          <w:lang w:val="en-US" w:eastAsia="zh-CN"/>
        </w:rPr>
      </w:pPr>
    </w:p>
    <w:p w14:paraId="60AF1B5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lang w:val="en-US" w:eastAsia="zh-CN"/>
        </w:rPr>
      </w:pPr>
      <w:r>
        <w:rPr>
          <w:rFonts w:hint="eastAsia" w:ascii="Times New Roman" w:hAnsi="Times New Roman"/>
          <w:sz w:val="20"/>
          <w:szCs w:val="20"/>
          <w:highlight w:val="none"/>
          <w:lang w:val="en-US" w:eastAsia="zh-CN"/>
        </w:rPr>
        <w:t xml:space="preserve">For CSI processing timeline in SBFD symbols to process the CSI-RS across two DL subbands, according to RAN1 agreements, there are two UE capabilities. UE capability 1 is CSI processing timeline and CPU counting are the same as legacy. UE capability 2 is to scale the CSI processing timeline Z/Z’by factor of 2 and keep the same CPU counting as legacy. As dicsussed in [3], the existing legacy CSI computation time can be up to 4ms. For UE support capability 2, the CSI </w:t>
      </w:r>
      <w:r>
        <w:rPr>
          <w:rFonts w:hint="default" w:ascii="Times New Roman" w:hAnsi="Times New Roman" w:eastAsia="Yu Mincho" w:cs="Times New Roman"/>
          <w:sz w:val="20"/>
          <w:szCs w:val="20"/>
        </w:rPr>
        <w:t>processing</w:t>
      </w:r>
      <w:r>
        <w:rPr>
          <w:rFonts w:hint="eastAsia" w:ascii="Times New Roman" w:hAnsi="Times New Roman" w:cs="Times New Roman"/>
          <w:sz w:val="20"/>
          <w:szCs w:val="20"/>
          <w:lang w:val="en-US" w:eastAsia="zh-CN"/>
        </w:rPr>
        <w:t xml:space="preserve"> time is up to 8 ms. </w:t>
      </w:r>
    </w:p>
    <w:p w14:paraId="0D51C9A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highlight w:val="none"/>
          <w:lang w:val="en-US" w:eastAsia="zh-CN"/>
        </w:rPr>
      </w:pPr>
      <w:r>
        <w:rPr>
          <w:rFonts w:hint="eastAsia" w:ascii="Times New Roman" w:hAnsi="Times New Roman" w:cs="Times New Roman"/>
          <w:sz w:val="20"/>
          <w:szCs w:val="20"/>
          <w:lang w:val="en-US" w:eastAsia="zh-CN"/>
        </w:rPr>
        <w:t xml:space="preserve">Following is the legacy CSI-RS based L1-RSRP measurement period.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CSI-RS</w:t>
      </w:r>
      <w:r>
        <w:rPr>
          <w:rFonts w:hint="default" w:ascii="Times New Roman" w:hAnsi="Times New Roman" w:cs="Times New Roman"/>
          <w:sz w:val="20"/>
          <w:szCs w:val="20"/>
        </w:rPr>
        <w:t xml:space="preserve"> is the periodicity of CSI-RS configured for L1-RSRP measurement.</w:t>
      </w:r>
      <w:r>
        <w:rPr>
          <w:rFonts w:hint="eastAsia" w:ascii="Times New Roman" w:hAnsi="Times New Roman" w:cs="Times New Roman"/>
          <w:sz w:val="20"/>
          <w:szCs w:val="20"/>
          <w:lang w:val="en-US" w:eastAsia="zh-CN"/>
        </w:rPr>
        <w:t xml:space="preserve"> According to TS38.331, it is possible that the value of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CSI-RS</w:t>
      </w:r>
      <w:r>
        <w:rPr>
          <w:rFonts w:hint="default" w:ascii="Times New Roman" w:hAnsi="Times New Roman" w:cs="Times New Roman"/>
          <w:sz w:val="20"/>
          <w:szCs w:val="20"/>
        </w:rPr>
        <w:t xml:space="preserve"> is</w:t>
      </w:r>
      <w:r>
        <w:rPr>
          <w:rFonts w:hint="eastAsia" w:ascii="Times New Roman" w:hAnsi="Times New Roman" w:cs="Times New Roman"/>
          <w:sz w:val="20"/>
          <w:szCs w:val="20"/>
          <w:lang w:val="en-US" w:eastAsia="zh-CN"/>
        </w:rPr>
        <w:t xml:space="preserve"> smaller than 8 ms.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Report</w:t>
      </w:r>
      <w:r>
        <w:rPr>
          <w:rFonts w:hint="default" w:ascii="Times New Roman" w:hAnsi="Times New Roman" w:cs="Times New Roman"/>
          <w:sz w:val="20"/>
          <w:szCs w:val="20"/>
        </w:rPr>
        <w:t xml:space="preserve"> is configured periodicity for reporting.</w:t>
      </w:r>
      <w:r>
        <w:rPr>
          <w:rFonts w:hint="eastAsia" w:ascii="Times New Roman" w:hAnsi="Times New Roman"/>
          <w:sz w:val="20"/>
          <w:szCs w:val="20"/>
          <w:highlight w:val="none"/>
          <w:lang w:val="en-US" w:eastAsia="zh-CN"/>
        </w:rPr>
        <w:t xml:space="preserve"> </w:t>
      </w:r>
      <w:r>
        <w:rPr>
          <w:rFonts w:hint="eastAsia" w:ascii="Times New Roman" w:hAnsi="Times New Roman" w:cs="Times New Roman"/>
          <w:sz w:val="20"/>
          <w:szCs w:val="20"/>
          <w:lang w:val="en-US" w:eastAsia="zh-CN"/>
        </w:rPr>
        <w:t xml:space="preserve">According to TS38.331, it is possible that the value of </w:t>
      </w:r>
      <w:r>
        <w:rPr>
          <w:rFonts w:hint="default" w:ascii="Times New Roman" w:hAnsi="Times New Roman" w:cs="Times New Roman"/>
          <w:sz w:val="20"/>
          <w:szCs w:val="20"/>
        </w:rPr>
        <w:t>T</w:t>
      </w:r>
      <w:r>
        <w:rPr>
          <w:rFonts w:hint="eastAsia" w:ascii="Times New Roman" w:hAnsi="Times New Roman" w:cs="Times New Roman"/>
          <w:sz w:val="20"/>
          <w:szCs w:val="20"/>
          <w:vertAlign w:val="subscript"/>
          <w:lang w:val="en-US" w:eastAsia="zh-CN"/>
        </w:rPr>
        <w:t>report</w:t>
      </w:r>
      <w:r>
        <w:rPr>
          <w:rFonts w:hint="default" w:ascii="Times New Roman" w:hAnsi="Times New Roman" w:cs="Times New Roman"/>
          <w:sz w:val="20"/>
          <w:szCs w:val="20"/>
        </w:rPr>
        <w:t xml:space="preserve"> is</w:t>
      </w:r>
      <w:r>
        <w:rPr>
          <w:rFonts w:hint="eastAsia" w:ascii="Times New Roman" w:hAnsi="Times New Roman" w:cs="Times New Roman"/>
          <w:sz w:val="20"/>
          <w:szCs w:val="20"/>
          <w:lang w:val="en-US" w:eastAsia="zh-CN"/>
        </w:rPr>
        <w:t xml:space="preserve"> smaller than 8 ms. Taking above into account, it is reasonable to add a lower bound of 8ms on top of existing delay requirements, e.g. max (8ms,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Report</w:t>
      </w:r>
      <w:r>
        <w:rPr>
          <w:rFonts w:hint="default" w:ascii="Times New Roman" w:hAnsi="Times New Roman" w:cs="Times New Roman"/>
          <w:sz w:val="20"/>
          <w:szCs w:val="20"/>
        </w:rPr>
        <w:t>, ceil(M*P)*T</w:t>
      </w:r>
      <w:r>
        <w:rPr>
          <w:rFonts w:hint="default" w:ascii="Times New Roman" w:hAnsi="Times New Roman" w:cs="Times New Roman"/>
          <w:sz w:val="20"/>
          <w:szCs w:val="20"/>
          <w:vertAlign w:val="subscript"/>
        </w:rPr>
        <w:t>CSI-RS</w:t>
      </w:r>
      <w:r>
        <w:rPr>
          <w:rFonts w:hint="eastAsia" w:ascii="Times New Roman" w:hAnsi="Times New Roman" w:cs="Times New Roman"/>
          <w:sz w:val="20"/>
          <w:szCs w:val="20"/>
          <w:lang w:val="en-US" w:eastAsia="zh-CN"/>
        </w:rPr>
        <w:t>)</w:t>
      </w:r>
      <w:r>
        <w:rPr>
          <w:rFonts w:hint="eastAsia" w:ascii="Times New Roman" w:hAnsi="Times New Roman"/>
          <w:sz w:val="20"/>
          <w:szCs w:val="20"/>
          <w:highlight w:val="none"/>
          <w:lang w:val="en-US" w:eastAsia="zh-CN"/>
        </w:rPr>
        <w:t xml:space="preserve"> for non-DRX case.  </w:t>
      </w:r>
    </w:p>
    <w:p w14:paraId="072ED0B0">
      <w:pPr>
        <w:pStyle w:val="13"/>
        <w:rPr>
          <w:rFonts w:hint="default" w:ascii="Times New Roman" w:hAnsi="Times New Roman" w:cs="Times New Roman"/>
          <w:sz w:val="20"/>
          <w:szCs w:val="20"/>
        </w:rPr>
      </w:pPr>
      <w:r>
        <w:rPr>
          <w:rFonts w:hint="default" w:ascii="Times New Roman" w:hAnsi="Times New Roman" w:cs="Times New Roman"/>
          <w:sz w:val="20"/>
          <w:szCs w:val="20"/>
        </w:rPr>
        <w:t>Table 9.5.4.2-1: Measurement period T</w:t>
      </w:r>
      <w:r>
        <w:rPr>
          <w:rFonts w:hint="default" w:ascii="Times New Roman" w:hAnsi="Times New Roman" w:cs="Times New Roman"/>
          <w:sz w:val="20"/>
          <w:szCs w:val="20"/>
          <w:vertAlign w:val="subscript"/>
        </w:rPr>
        <w:t>L1-RSRP_Measurement_Period_CSI-RS</w:t>
      </w:r>
      <w:r>
        <w:rPr>
          <w:rFonts w:hint="default" w:ascii="Times New Roman" w:hAnsi="Times New Roman" w:cs="Times New Roman"/>
          <w:sz w:val="20"/>
          <w:szCs w:val="20"/>
        </w:rPr>
        <w:t xml:space="preserve"> for FR1</w:t>
      </w:r>
    </w:p>
    <w:tbl>
      <w:tblPr>
        <w:tblStyle w:val="8"/>
        <w:tblW w:w="426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45"/>
        <w:gridCol w:w="5050"/>
      </w:tblGrid>
      <w:tr w14:paraId="239E8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02" w:type="pct"/>
            <w:tcBorders>
              <w:top w:val="single" w:color="auto" w:sz="4" w:space="0"/>
              <w:left w:val="single" w:color="auto" w:sz="4" w:space="0"/>
              <w:bottom w:val="single" w:color="auto" w:sz="4" w:space="0"/>
              <w:right w:val="single" w:color="auto" w:sz="4" w:space="0"/>
            </w:tcBorders>
          </w:tcPr>
          <w:p w14:paraId="2A08A37D">
            <w:pPr>
              <w:pStyle w:val="14"/>
              <w:rPr>
                <w:rFonts w:hint="default" w:ascii="Times New Roman" w:hAnsi="Times New Roman" w:cs="Times New Roman"/>
                <w:sz w:val="20"/>
                <w:szCs w:val="20"/>
              </w:rPr>
            </w:pPr>
            <w:r>
              <w:rPr>
                <w:rFonts w:hint="default" w:ascii="Times New Roman" w:hAnsi="Times New Roman" w:cs="Times New Roman"/>
                <w:sz w:val="20"/>
                <w:szCs w:val="20"/>
              </w:rPr>
              <w:t>Configuration</w:t>
            </w:r>
          </w:p>
        </w:tc>
        <w:tc>
          <w:tcPr>
            <w:tcW w:w="3198" w:type="pct"/>
            <w:tcBorders>
              <w:top w:val="single" w:color="auto" w:sz="4" w:space="0"/>
              <w:left w:val="single" w:color="auto" w:sz="4" w:space="0"/>
              <w:bottom w:val="single" w:color="auto" w:sz="4" w:space="0"/>
              <w:right w:val="single" w:color="auto" w:sz="4" w:space="0"/>
            </w:tcBorders>
          </w:tcPr>
          <w:p w14:paraId="2874CB0D">
            <w:pPr>
              <w:pStyle w:val="14"/>
              <w:rPr>
                <w:rFonts w:hint="default" w:ascii="Times New Roman" w:hAnsi="Times New Roman" w:cs="Times New Roman"/>
                <w:sz w:val="20"/>
                <w:szCs w:val="20"/>
              </w:rPr>
            </w:pP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L1-RSRP_Measurement_Period_CSI-RS</w:t>
            </w:r>
            <w:r>
              <w:rPr>
                <w:rFonts w:hint="default" w:ascii="Times New Roman" w:hAnsi="Times New Roman" w:cs="Times New Roman"/>
                <w:sz w:val="20"/>
                <w:szCs w:val="20"/>
              </w:rPr>
              <w:t xml:space="preserve"> (ms) </w:t>
            </w:r>
          </w:p>
        </w:tc>
      </w:tr>
      <w:tr w14:paraId="63CF5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02" w:type="pct"/>
            <w:tcBorders>
              <w:top w:val="single" w:color="auto" w:sz="4" w:space="0"/>
              <w:left w:val="single" w:color="auto" w:sz="4" w:space="0"/>
              <w:bottom w:val="single" w:color="auto" w:sz="4" w:space="0"/>
              <w:right w:val="single" w:color="auto" w:sz="4" w:space="0"/>
            </w:tcBorders>
          </w:tcPr>
          <w:p w14:paraId="13AD8CE0">
            <w:pPr>
              <w:pStyle w:val="15"/>
              <w:rPr>
                <w:rFonts w:hint="default" w:ascii="Times New Roman" w:hAnsi="Times New Roman" w:cs="Times New Roman"/>
                <w:sz w:val="20"/>
                <w:szCs w:val="20"/>
              </w:rPr>
            </w:pPr>
            <w:r>
              <w:rPr>
                <w:rFonts w:hint="default" w:ascii="Times New Roman" w:hAnsi="Times New Roman" w:cs="Times New Roman"/>
                <w:sz w:val="20"/>
                <w:szCs w:val="20"/>
              </w:rPr>
              <w:t>non-DRX</w:t>
            </w:r>
          </w:p>
        </w:tc>
        <w:tc>
          <w:tcPr>
            <w:tcW w:w="3198" w:type="pct"/>
            <w:tcBorders>
              <w:top w:val="single" w:color="auto" w:sz="4" w:space="0"/>
              <w:left w:val="single" w:color="auto" w:sz="4" w:space="0"/>
              <w:bottom w:val="single" w:color="auto" w:sz="4" w:space="0"/>
              <w:right w:val="single" w:color="auto" w:sz="4" w:space="0"/>
            </w:tcBorders>
          </w:tcPr>
          <w:p w14:paraId="0402359C">
            <w:pPr>
              <w:pStyle w:val="15"/>
              <w:rPr>
                <w:rFonts w:hint="default" w:ascii="Times New Roman" w:hAnsi="Times New Roman" w:cs="Times New Roman"/>
                <w:sz w:val="20"/>
                <w:szCs w:val="20"/>
              </w:rPr>
            </w:pPr>
            <w:r>
              <w:rPr>
                <w:rFonts w:hint="default" w:ascii="Times New Roman" w:hAnsi="Times New Roman" w:cs="Times New Roman"/>
                <w:sz w:val="20"/>
                <w:szCs w:val="20"/>
              </w:rPr>
              <w:t>max(T</w:t>
            </w:r>
            <w:r>
              <w:rPr>
                <w:rFonts w:hint="default" w:ascii="Times New Roman" w:hAnsi="Times New Roman" w:cs="Times New Roman"/>
                <w:sz w:val="20"/>
                <w:szCs w:val="20"/>
                <w:vertAlign w:val="subscript"/>
              </w:rPr>
              <w:t>Report</w:t>
            </w:r>
            <w:r>
              <w:rPr>
                <w:rFonts w:hint="default" w:ascii="Times New Roman" w:hAnsi="Times New Roman" w:cs="Times New Roman"/>
                <w:sz w:val="20"/>
                <w:szCs w:val="20"/>
              </w:rPr>
              <w:t>, ceil(M*P)*T</w:t>
            </w:r>
            <w:r>
              <w:rPr>
                <w:rFonts w:hint="default" w:ascii="Times New Roman" w:hAnsi="Times New Roman" w:cs="Times New Roman"/>
                <w:sz w:val="20"/>
                <w:szCs w:val="20"/>
                <w:vertAlign w:val="subscript"/>
              </w:rPr>
              <w:t>CSI-RS</w:t>
            </w:r>
            <w:r>
              <w:rPr>
                <w:rFonts w:hint="default" w:ascii="Times New Roman" w:hAnsi="Times New Roman" w:cs="Times New Roman"/>
                <w:sz w:val="20"/>
                <w:szCs w:val="20"/>
              </w:rPr>
              <w:t>)</w:t>
            </w:r>
          </w:p>
        </w:tc>
      </w:tr>
      <w:tr w14:paraId="6591D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02" w:type="pct"/>
            <w:tcBorders>
              <w:top w:val="single" w:color="auto" w:sz="4" w:space="0"/>
              <w:left w:val="single" w:color="auto" w:sz="4" w:space="0"/>
              <w:bottom w:val="single" w:color="auto" w:sz="4" w:space="0"/>
              <w:right w:val="single" w:color="auto" w:sz="4" w:space="0"/>
            </w:tcBorders>
          </w:tcPr>
          <w:p w14:paraId="2497DDC1">
            <w:pPr>
              <w:pStyle w:val="15"/>
              <w:rPr>
                <w:rFonts w:hint="default" w:ascii="Times New Roman" w:hAnsi="Times New Roman" w:cs="Times New Roman"/>
                <w:sz w:val="20"/>
                <w:szCs w:val="20"/>
              </w:rPr>
            </w:pPr>
            <w:r>
              <w:rPr>
                <w:rFonts w:hint="default" w:ascii="Times New Roman" w:hAnsi="Times New Roman" w:cs="Times New Roman"/>
                <w:sz w:val="20"/>
                <w:szCs w:val="20"/>
              </w:rPr>
              <w:t>DRX cycle ≤ 320 ms</w:t>
            </w:r>
          </w:p>
        </w:tc>
        <w:tc>
          <w:tcPr>
            <w:tcW w:w="3198" w:type="pct"/>
            <w:tcBorders>
              <w:top w:val="single" w:color="auto" w:sz="4" w:space="0"/>
              <w:left w:val="single" w:color="auto" w:sz="4" w:space="0"/>
              <w:bottom w:val="single" w:color="auto" w:sz="4" w:space="0"/>
              <w:right w:val="single" w:color="auto" w:sz="4" w:space="0"/>
            </w:tcBorders>
          </w:tcPr>
          <w:p w14:paraId="7122F806">
            <w:pPr>
              <w:pStyle w:val="15"/>
              <w:rPr>
                <w:rFonts w:hint="default" w:ascii="Times New Roman" w:hAnsi="Times New Roman" w:cs="Times New Roman"/>
                <w:sz w:val="20"/>
                <w:szCs w:val="20"/>
              </w:rPr>
            </w:pPr>
            <w:r>
              <w:rPr>
                <w:rFonts w:hint="default" w:ascii="Times New Roman" w:hAnsi="Times New Roman" w:cs="Times New Roman"/>
                <w:sz w:val="20"/>
                <w:szCs w:val="20"/>
              </w:rPr>
              <w:t>max(T</w:t>
            </w:r>
            <w:r>
              <w:rPr>
                <w:rFonts w:hint="default" w:ascii="Times New Roman" w:hAnsi="Times New Roman" w:cs="Times New Roman"/>
                <w:sz w:val="20"/>
                <w:szCs w:val="20"/>
                <w:vertAlign w:val="subscript"/>
              </w:rPr>
              <w:t>Report</w:t>
            </w:r>
            <w:r>
              <w:rPr>
                <w:rFonts w:hint="default" w:ascii="Times New Roman" w:hAnsi="Times New Roman" w:cs="Times New Roman"/>
                <w:sz w:val="20"/>
                <w:szCs w:val="20"/>
              </w:rPr>
              <w:t>, ceil(K *M*P)*max(T</w:t>
            </w:r>
            <w:r>
              <w:rPr>
                <w:rFonts w:hint="default" w:ascii="Times New Roman" w:hAnsi="Times New Roman" w:cs="Times New Roman"/>
                <w:sz w:val="20"/>
                <w:szCs w:val="20"/>
                <w:vertAlign w:val="subscript"/>
              </w:rPr>
              <w:t>DRX</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CSI-RS</w:t>
            </w:r>
            <w:r>
              <w:rPr>
                <w:rFonts w:hint="default" w:ascii="Times New Roman" w:hAnsi="Times New Roman" w:cs="Times New Roman"/>
                <w:sz w:val="20"/>
                <w:szCs w:val="20"/>
              </w:rPr>
              <w:t>))</w:t>
            </w:r>
          </w:p>
        </w:tc>
      </w:tr>
      <w:tr w14:paraId="65364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02" w:type="pct"/>
            <w:tcBorders>
              <w:top w:val="single" w:color="auto" w:sz="4" w:space="0"/>
              <w:left w:val="single" w:color="auto" w:sz="4" w:space="0"/>
              <w:bottom w:val="single" w:color="auto" w:sz="4" w:space="0"/>
              <w:right w:val="single" w:color="auto" w:sz="4" w:space="0"/>
            </w:tcBorders>
          </w:tcPr>
          <w:p w14:paraId="2846DBE9">
            <w:pPr>
              <w:pStyle w:val="15"/>
              <w:rPr>
                <w:rFonts w:hint="default" w:ascii="Times New Roman" w:hAnsi="Times New Roman" w:cs="Times New Roman"/>
                <w:sz w:val="20"/>
                <w:szCs w:val="20"/>
              </w:rPr>
            </w:pPr>
            <w:r>
              <w:rPr>
                <w:rFonts w:hint="default" w:ascii="Times New Roman" w:hAnsi="Times New Roman" w:cs="Times New Roman"/>
                <w:sz w:val="20"/>
                <w:szCs w:val="20"/>
              </w:rPr>
              <w:t>DRX cycle &gt; 320 ms</w:t>
            </w:r>
          </w:p>
        </w:tc>
        <w:tc>
          <w:tcPr>
            <w:tcW w:w="3198" w:type="pct"/>
            <w:tcBorders>
              <w:top w:val="single" w:color="auto" w:sz="4" w:space="0"/>
              <w:left w:val="single" w:color="auto" w:sz="4" w:space="0"/>
              <w:bottom w:val="single" w:color="auto" w:sz="4" w:space="0"/>
              <w:right w:val="single" w:color="auto" w:sz="4" w:space="0"/>
            </w:tcBorders>
          </w:tcPr>
          <w:p w14:paraId="416F4852">
            <w:pPr>
              <w:pStyle w:val="15"/>
              <w:rPr>
                <w:rFonts w:hint="default" w:ascii="Times New Roman" w:hAnsi="Times New Roman" w:cs="Times New Roman"/>
                <w:sz w:val="20"/>
                <w:szCs w:val="20"/>
              </w:rPr>
            </w:pPr>
            <w:r>
              <w:rPr>
                <w:rFonts w:hint="default" w:ascii="Times New Roman" w:hAnsi="Times New Roman" w:cs="Times New Roman"/>
                <w:sz w:val="20"/>
                <w:szCs w:val="20"/>
              </w:rPr>
              <w:t>ceil(M*P)*T</w:t>
            </w:r>
            <w:r>
              <w:rPr>
                <w:rFonts w:hint="default" w:ascii="Times New Roman" w:hAnsi="Times New Roman" w:cs="Times New Roman"/>
                <w:sz w:val="20"/>
                <w:szCs w:val="20"/>
                <w:vertAlign w:val="subscript"/>
              </w:rPr>
              <w:t>DRX</w:t>
            </w:r>
          </w:p>
        </w:tc>
      </w:tr>
      <w:tr w14:paraId="48B10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2"/>
            <w:tcBorders>
              <w:top w:val="single" w:color="auto" w:sz="4" w:space="0"/>
              <w:left w:val="single" w:color="auto" w:sz="4" w:space="0"/>
              <w:bottom w:val="single" w:color="auto" w:sz="4" w:space="0"/>
              <w:right w:val="single" w:color="auto" w:sz="4" w:space="0"/>
            </w:tcBorders>
          </w:tcPr>
          <w:p w14:paraId="3D15BEB1">
            <w:pPr>
              <w:keepNext/>
              <w:keepLines/>
              <w:spacing w:after="0"/>
              <w:ind w:left="851" w:hanging="851"/>
              <w:rPr>
                <w:rFonts w:hint="default" w:ascii="Times New Roman" w:hAnsi="Times New Roman" w:cs="Times New Roman"/>
                <w:sz w:val="20"/>
                <w:szCs w:val="20"/>
              </w:rPr>
            </w:pPr>
            <w:r>
              <w:rPr>
                <w:rFonts w:hint="default" w:ascii="Times New Roman" w:hAnsi="Times New Roman" w:cs="Times New Roman"/>
                <w:sz w:val="20"/>
                <w:szCs w:val="20"/>
              </w:rPr>
              <w:t>NOTE 1:</w:t>
            </w:r>
            <w:r>
              <w:rPr>
                <w:rFonts w:hint="default" w:ascii="Times New Roman" w:hAnsi="Times New Roman" w:cs="Times New Roman"/>
                <w:sz w:val="20"/>
                <w:szCs w:val="20"/>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CSI-RS</w:t>
            </w:r>
            <w:r>
              <w:rPr>
                <w:rFonts w:hint="default" w:ascii="Times New Roman" w:hAnsi="Times New Roman" w:cs="Times New Roman"/>
                <w:sz w:val="20"/>
                <w:szCs w:val="20"/>
              </w:rPr>
              <w:t xml:space="preserve"> is the periodicity of CSI-RS configured for L1-RSRP measurement. T</w:t>
            </w:r>
            <w:r>
              <w:rPr>
                <w:rFonts w:hint="default" w:ascii="Times New Roman" w:hAnsi="Times New Roman" w:cs="Times New Roman"/>
                <w:sz w:val="20"/>
                <w:szCs w:val="20"/>
                <w:vertAlign w:val="subscript"/>
              </w:rPr>
              <w:t>DRX</w:t>
            </w:r>
            <w:r>
              <w:rPr>
                <w:rFonts w:hint="default" w:ascii="Times New Roman" w:hAnsi="Times New Roman" w:cs="Times New Roman"/>
                <w:sz w:val="20"/>
                <w:szCs w:val="20"/>
              </w:rPr>
              <w:t xml:space="preserve"> is the DRX cycle length. T</w:t>
            </w:r>
            <w:r>
              <w:rPr>
                <w:rFonts w:hint="default" w:ascii="Times New Roman" w:hAnsi="Times New Roman" w:cs="Times New Roman"/>
                <w:sz w:val="20"/>
                <w:szCs w:val="20"/>
                <w:vertAlign w:val="subscript"/>
              </w:rPr>
              <w:t>Report</w:t>
            </w:r>
            <w:r>
              <w:rPr>
                <w:rFonts w:hint="default" w:ascii="Times New Roman" w:hAnsi="Times New Roman" w:cs="Times New Roman"/>
                <w:sz w:val="20"/>
                <w:szCs w:val="20"/>
              </w:rPr>
              <w:t xml:space="preserve"> is configured periodicity for reporting.</w:t>
            </w:r>
          </w:p>
          <w:p w14:paraId="06415476">
            <w:pPr>
              <w:keepNext/>
              <w:keepLines/>
              <w:spacing w:after="0"/>
              <w:ind w:left="851" w:hanging="851"/>
              <w:rPr>
                <w:rFonts w:hint="default" w:ascii="Times New Roman" w:hAnsi="Times New Roman" w:cs="Times New Roman"/>
                <w:sz w:val="20"/>
                <w:szCs w:val="20"/>
              </w:rPr>
            </w:pPr>
            <w:r>
              <w:rPr>
                <w:rFonts w:hint="default" w:ascii="Times New Roman" w:hAnsi="Times New Roman" w:cs="Times New Roman"/>
                <w:sz w:val="20"/>
                <w:szCs w:val="20"/>
              </w:rPr>
              <w:t>NOTE 2:</w:t>
            </w:r>
            <w:r>
              <w:rPr>
                <w:rFonts w:hint="default" w:ascii="Times New Roman" w:hAnsi="Times New Roman" w:cs="Times New Roman"/>
                <w:sz w:val="20"/>
                <w:szCs w:val="20"/>
              </w:rPr>
              <w:tab/>
            </w:r>
            <w:r>
              <w:rPr>
                <w:rFonts w:hint="default" w:ascii="Times New Roman" w:hAnsi="Times New Roman" w:cs="Times New Roman"/>
                <w:sz w:val="20"/>
                <w:szCs w:val="20"/>
              </w:rPr>
              <w:t>the requirements are applicable provided that the CSI-RS resource configured for L1-RSRP measurement is transmitted with Density = 3.</w:t>
            </w:r>
          </w:p>
          <w:p w14:paraId="1351E346">
            <w:pPr>
              <w:keepNext/>
              <w:keepLines/>
              <w:spacing w:after="0"/>
              <w:ind w:left="851" w:hanging="851"/>
              <w:rPr>
                <w:rFonts w:hint="default" w:ascii="Times New Roman" w:hAnsi="Times New Roman" w:eastAsia="CG Times (WN)" w:cs="Times New Roman"/>
                <w:sz w:val="20"/>
                <w:szCs w:val="20"/>
                <w:lang w:eastAsia="zh-CN"/>
              </w:rPr>
            </w:pPr>
            <w:r>
              <w:rPr>
                <w:rFonts w:hint="default" w:ascii="Times New Roman" w:hAnsi="Times New Roman" w:cs="Times New Roman"/>
                <w:sz w:val="20"/>
                <w:szCs w:val="20"/>
              </w:rPr>
              <w:t>NOTE</w:t>
            </w:r>
            <w:r>
              <w:rPr>
                <w:rFonts w:hint="default" w:ascii="Times New Roman" w:hAnsi="Times New Roman" w:eastAsia="CG Times (WN)" w:cs="Times New Roman"/>
                <w:sz w:val="20"/>
                <w:szCs w:val="20"/>
                <w:lang w:eastAsia="zh-CN"/>
              </w:rPr>
              <w:t xml:space="preserve"> 3:</w:t>
            </w:r>
            <w:r>
              <w:rPr>
                <w:rFonts w:hint="default" w:ascii="Times New Roman" w:hAnsi="Times New Roman" w:eastAsia="CG Times (WN)" w:cs="Times New Roman"/>
                <w:sz w:val="20"/>
                <w:szCs w:val="20"/>
                <w:lang w:eastAsia="zh-CN"/>
              </w:rPr>
              <w:tab/>
            </w:r>
            <w:r>
              <w:rPr>
                <w:rFonts w:hint="default" w:ascii="Times New Roman" w:hAnsi="Times New Roman" w:eastAsia="CG Times (WN)" w:cs="Times New Roman"/>
                <w:sz w:val="20"/>
                <w:szCs w:val="20"/>
                <w:lang w:eastAsia="zh-CN"/>
              </w:rPr>
              <w:t>K = 1 when T</w:t>
            </w:r>
            <w:r>
              <w:rPr>
                <w:rFonts w:hint="default" w:ascii="Times New Roman" w:hAnsi="Times New Roman" w:eastAsia="CG Times (WN)" w:cs="Times New Roman"/>
                <w:sz w:val="20"/>
                <w:szCs w:val="20"/>
                <w:vertAlign w:val="subscript"/>
                <w:lang w:eastAsia="zh-CN"/>
              </w:rPr>
              <w:t>CSI-RS</w:t>
            </w:r>
            <w:r>
              <w:rPr>
                <w:rFonts w:hint="default" w:ascii="Times New Roman" w:hAnsi="Times New Roman" w:eastAsia="CG Times (WN)" w:cs="Times New Roman"/>
                <w:sz w:val="20"/>
                <w:szCs w:val="20"/>
                <w:lang w:eastAsia="zh-CN"/>
              </w:rPr>
              <w:t xml:space="preserve"> ≤ 40 ms and </w:t>
            </w:r>
            <w:r>
              <w:rPr>
                <w:rFonts w:hint="default" w:ascii="Times New Roman" w:hAnsi="Times New Roman" w:eastAsia="CG Times (WN)" w:cs="Times New Roman"/>
                <w:i/>
                <w:iCs/>
                <w:sz w:val="20"/>
                <w:szCs w:val="20"/>
                <w:lang w:eastAsia="zh-CN"/>
              </w:rPr>
              <w:t xml:space="preserve">highSpeedMeasFlag-r16 or highSpeedMeasCA-Scell-r17 </w:t>
            </w:r>
            <w:r>
              <w:rPr>
                <w:rFonts w:hint="default" w:ascii="Times New Roman" w:hAnsi="Times New Roman" w:eastAsia="CG Times (WN)" w:cs="Times New Roman"/>
                <w:sz w:val="20"/>
                <w:szCs w:val="20"/>
                <w:lang w:eastAsia="zh-CN"/>
              </w:rPr>
              <w:t>are configured; otherwise K = 1.5.</w:t>
            </w:r>
          </w:p>
          <w:p w14:paraId="4A5C0ECF">
            <w:pPr>
              <w:pStyle w:val="17"/>
              <w:rPr>
                <w:rFonts w:hint="default" w:ascii="Times New Roman" w:hAnsi="Times New Roman" w:cs="Times New Roman"/>
                <w:sz w:val="20"/>
                <w:szCs w:val="20"/>
              </w:rPr>
            </w:pPr>
            <w:r>
              <w:rPr>
                <w:rFonts w:hint="default" w:ascii="Times New Roman" w:hAnsi="Times New Roman" w:cs="Times New Roman"/>
                <w:sz w:val="20"/>
                <w:szCs w:val="20"/>
              </w:rPr>
              <w:t>NOTE 4:</w:t>
            </w:r>
            <w:r>
              <w:rPr>
                <w:rFonts w:hint="default" w:ascii="Times New Roman" w:hAnsi="Times New Roman" w:cs="Times New Roman"/>
                <w:sz w:val="20"/>
                <w:szCs w:val="20"/>
              </w:rPr>
              <w:tab/>
            </w:r>
            <w:r>
              <w:rPr>
                <w:rFonts w:hint="default" w:ascii="Times New Roman" w:hAnsi="Times New Roman" w:eastAsia="Malgun Gothic" w:cs="Times New Roman"/>
                <w:sz w:val="20"/>
                <w:szCs w:val="20"/>
                <w:lang w:eastAsia="zh-CN"/>
              </w:rPr>
              <w:t xml:space="preserve">When </w:t>
            </w:r>
            <w:r>
              <w:rPr>
                <w:rFonts w:hint="default" w:ascii="Times New Roman" w:hAnsi="Times New Roman" w:eastAsia="Malgun Gothic" w:cs="Times New Roman"/>
                <w:i/>
                <w:iCs/>
                <w:sz w:val="20"/>
                <w:szCs w:val="20"/>
                <w:lang w:eastAsia="zh-CN"/>
              </w:rPr>
              <w:t>highSpeedMeasFlag-r16</w:t>
            </w:r>
            <w:r>
              <w:rPr>
                <w:rFonts w:hint="default" w:ascii="Times New Roman" w:hAnsi="Times New Roman" w:eastAsia="Malgun Gothic" w:cs="Times New Roman"/>
                <w:sz w:val="20"/>
                <w:szCs w:val="20"/>
                <w:lang w:eastAsia="zh-CN"/>
              </w:rPr>
              <w:t xml:space="preserve"> is configured, the requirements apply only to </w:t>
            </w:r>
            <w:r>
              <w:rPr>
                <w:rFonts w:hint="default" w:ascii="Times New Roman" w:hAnsi="Times New Roman" w:cs="Times New Roman"/>
                <w:sz w:val="20"/>
                <w:szCs w:val="20"/>
              </w:rPr>
              <w:t xml:space="preserve">UE supporting either </w:t>
            </w:r>
            <w:r>
              <w:rPr>
                <w:rFonts w:hint="default" w:ascii="Times New Roman" w:hAnsi="Times New Roman" w:cs="Times New Roman"/>
                <w:i/>
                <w:iCs/>
                <w:sz w:val="20"/>
                <w:szCs w:val="20"/>
              </w:rPr>
              <w:t xml:space="preserve">measurementEnhancement-r16 </w:t>
            </w:r>
            <w:r>
              <w:rPr>
                <w:rFonts w:hint="default" w:ascii="Times New Roman" w:hAnsi="Times New Roman" w:cs="Times New Roman"/>
                <w:sz w:val="20"/>
                <w:szCs w:val="20"/>
              </w:rPr>
              <w:t>or</w:t>
            </w:r>
            <w:r>
              <w:rPr>
                <w:rFonts w:hint="default" w:ascii="Times New Roman" w:hAnsi="Times New Roman" w:cs="Times New Roman"/>
                <w:i/>
                <w:iCs/>
                <w:sz w:val="20"/>
                <w:szCs w:val="20"/>
              </w:rPr>
              <w:t xml:space="preserve"> intraNR-MeasurementEnhancement-r16 or measurementEnhancementCA-r17.</w:t>
            </w:r>
          </w:p>
        </w:tc>
      </w:tr>
    </w:tbl>
    <w:tbl>
      <w:tblPr>
        <w:tblStyle w:val="9"/>
        <w:tblpPr w:leftFromText="180" w:rightFromText="180" w:vertAnchor="text" w:horzAnchor="page" w:tblpX="1800" w:tblpY="48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56D1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ECDFBEB">
            <w:pPr>
              <w:jc w:val="both"/>
              <w:rPr>
                <w:rFonts w:hint="default" w:ascii="Times New Roman" w:hAnsi="Times New Roman" w:cs="Times New Roman"/>
                <w:b/>
                <w:bCs/>
                <w:sz w:val="20"/>
                <w:szCs w:val="20"/>
              </w:rPr>
            </w:pPr>
            <w:r>
              <w:rPr>
                <w:rFonts w:hint="default" w:ascii="Times New Roman" w:hAnsi="Times New Roman" w:cs="Times New Roman"/>
                <w:b/>
                <w:bCs/>
                <w:sz w:val="20"/>
                <w:szCs w:val="20"/>
              </w:rPr>
              <w:t xml:space="preserve">From </w:t>
            </w:r>
            <w:r>
              <w:rPr>
                <w:rFonts w:hint="default" w:ascii="Times New Roman" w:hAnsi="Times New Roman" w:cs="Times New Roman"/>
                <w:b/>
                <w:bCs/>
                <w:sz w:val="20"/>
                <w:szCs w:val="20"/>
                <w:lang w:val="en-US" w:eastAsia="zh-CN"/>
              </w:rPr>
              <w:t xml:space="preserve">TS </w:t>
            </w:r>
            <w:r>
              <w:rPr>
                <w:rFonts w:hint="default" w:ascii="Times New Roman" w:hAnsi="Times New Roman" w:cs="Times New Roman"/>
                <w:b/>
                <w:bCs/>
                <w:sz w:val="20"/>
                <w:szCs w:val="20"/>
              </w:rPr>
              <w:t>38.331 Clause 6.3.2:</w:t>
            </w:r>
          </w:p>
          <w:p w14:paraId="25F2ED83">
            <w:pPr>
              <w:jc w:val="both"/>
              <w:rPr>
                <w:rFonts w:hint="default" w:ascii="Times New Roman" w:hAnsi="Times New Roman" w:cs="Times New Roman"/>
                <w:b/>
                <w:bCs/>
                <w:sz w:val="20"/>
                <w:szCs w:val="20"/>
              </w:rPr>
            </w:pPr>
          </w:p>
          <w:p w14:paraId="13A7094D">
            <w:pPr>
              <w:pStyle w:val="18"/>
              <w:rPr>
                <w:rFonts w:hint="default" w:ascii="Times New Roman" w:hAnsi="Times New Roman" w:cs="Times New Roman"/>
                <w:sz w:val="20"/>
                <w:szCs w:val="20"/>
              </w:rPr>
            </w:pPr>
            <w:r>
              <w:rPr>
                <w:rFonts w:hint="default" w:ascii="Times New Roman" w:hAnsi="Times New Roman" w:cs="Times New Roman"/>
                <w:sz w:val="20"/>
                <w:szCs w:val="20"/>
              </w:rPr>
              <w:t xml:space="preserve">CSI-ResourcePeriodicityAndOffset ::=    </w:t>
            </w:r>
            <w:r>
              <w:rPr>
                <w:rFonts w:hint="default" w:ascii="Times New Roman" w:hAnsi="Times New Roman" w:cs="Times New Roman"/>
                <w:color w:val="993366"/>
                <w:sz w:val="20"/>
                <w:szCs w:val="20"/>
              </w:rPr>
              <w:t>CHOICE</w:t>
            </w:r>
            <w:r>
              <w:rPr>
                <w:rFonts w:hint="default" w:ascii="Times New Roman" w:hAnsi="Times New Roman" w:cs="Times New Roman"/>
                <w:sz w:val="20"/>
                <w:szCs w:val="20"/>
              </w:rPr>
              <w:t xml:space="preserve"> {</w:t>
            </w:r>
          </w:p>
          <w:p w14:paraId="0A1C8B72">
            <w:pPr>
              <w:pStyle w:val="18"/>
              <w:rPr>
                <w:rFonts w:hint="default" w:ascii="Times New Roman" w:hAnsi="Times New Roman" w:cs="Times New Roman"/>
                <w:sz w:val="20"/>
                <w:szCs w:val="20"/>
              </w:rPr>
            </w:pPr>
            <w:r>
              <w:rPr>
                <w:rFonts w:hint="default" w:ascii="Times New Roman" w:hAnsi="Times New Roman" w:cs="Times New Roman"/>
                <w:sz w:val="20"/>
                <w:szCs w:val="20"/>
              </w:rPr>
              <w:t xml:space="preserve">    slots4                                  </w:t>
            </w:r>
            <w:r>
              <w:rPr>
                <w:rFonts w:hint="default" w:ascii="Times New Roman" w:hAnsi="Times New Roman" w:cs="Times New Roman"/>
                <w:color w:val="993366"/>
                <w:sz w:val="20"/>
                <w:szCs w:val="20"/>
              </w:rPr>
              <w:t>INTEGER</w:t>
            </w:r>
            <w:r>
              <w:rPr>
                <w:rFonts w:hint="default" w:ascii="Times New Roman" w:hAnsi="Times New Roman" w:cs="Times New Roman"/>
                <w:sz w:val="20"/>
                <w:szCs w:val="20"/>
              </w:rPr>
              <w:t xml:space="preserve"> (0..3),</w:t>
            </w:r>
          </w:p>
          <w:p w14:paraId="041E37EF">
            <w:pPr>
              <w:pStyle w:val="18"/>
              <w:rPr>
                <w:rFonts w:hint="default" w:ascii="Times New Roman" w:hAnsi="Times New Roman" w:cs="Times New Roman"/>
                <w:sz w:val="20"/>
                <w:szCs w:val="20"/>
              </w:rPr>
            </w:pPr>
            <w:r>
              <w:rPr>
                <w:rFonts w:hint="default" w:ascii="Times New Roman" w:hAnsi="Times New Roman" w:cs="Times New Roman"/>
                <w:sz w:val="20"/>
                <w:szCs w:val="20"/>
              </w:rPr>
              <w:t xml:space="preserve">    slots5                                  </w:t>
            </w:r>
            <w:r>
              <w:rPr>
                <w:rFonts w:hint="default" w:ascii="Times New Roman" w:hAnsi="Times New Roman" w:cs="Times New Roman"/>
                <w:color w:val="993366"/>
                <w:sz w:val="20"/>
                <w:szCs w:val="20"/>
              </w:rPr>
              <w:t>INTEGER</w:t>
            </w:r>
            <w:r>
              <w:rPr>
                <w:rFonts w:hint="default" w:ascii="Times New Roman" w:hAnsi="Times New Roman" w:cs="Times New Roman"/>
                <w:sz w:val="20"/>
                <w:szCs w:val="20"/>
              </w:rPr>
              <w:t xml:space="preserve"> (0..4),</w:t>
            </w:r>
          </w:p>
          <w:p w14:paraId="1654830D">
            <w:pPr>
              <w:pStyle w:val="18"/>
              <w:rPr>
                <w:rFonts w:hint="default" w:ascii="Times New Roman" w:hAnsi="Times New Roman" w:cs="Times New Roman"/>
                <w:sz w:val="20"/>
                <w:szCs w:val="20"/>
              </w:rPr>
            </w:pPr>
            <w:r>
              <w:rPr>
                <w:rFonts w:hint="default" w:ascii="Times New Roman" w:hAnsi="Times New Roman" w:cs="Times New Roman"/>
                <w:sz w:val="20"/>
                <w:szCs w:val="20"/>
              </w:rPr>
              <w:t xml:space="preserve">    slots8                                  </w:t>
            </w:r>
            <w:r>
              <w:rPr>
                <w:rFonts w:hint="default" w:ascii="Times New Roman" w:hAnsi="Times New Roman" w:cs="Times New Roman"/>
                <w:color w:val="993366"/>
                <w:sz w:val="20"/>
                <w:szCs w:val="20"/>
              </w:rPr>
              <w:t>INTEGER</w:t>
            </w:r>
            <w:r>
              <w:rPr>
                <w:rFonts w:hint="default" w:ascii="Times New Roman" w:hAnsi="Times New Roman" w:cs="Times New Roman"/>
                <w:sz w:val="20"/>
                <w:szCs w:val="20"/>
              </w:rPr>
              <w:t xml:space="preserve"> (0..7),</w:t>
            </w:r>
          </w:p>
          <w:p w14:paraId="4334382E">
            <w:pPr>
              <w:pStyle w:val="18"/>
              <w:rPr>
                <w:rFonts w:hint="default" w:ascii="Times New Roman" w:hAnsi="Times New Roman" w:cs="Times New Roman"/>
                <w:sz w:val="20"/>
                <w:szCs w:val="20"/>
              </w:rPr>
            </w:pPr>
            <w:r>
              <w:rPr>
                <w:rFonts w:hint="default" w:ascii="Times New Roman" w:hAnsi="Times New Roman" w:cs="Times New Roman"/>
                <w:sz w:val="20"/>
                <w:szCs w:val="20"/>
              </w:rPr>
              <w:t xml:space="preserve">    slots10                                 </w:t>
            </w:r>
            <w:r>
              <w:rPr>
                <w:rFonts w:hint="default" w:ascii="Times New Roman" w:hAnsi="Times New Roman" w:cs="Times New Roman"/>
                <w:color w:val="993366"/>
                <w:sz w:val="20"/>
                <w:szCs w:val="20"/>
              </w:rPr>
              <w:t>INTEGER</w:t>
            </w:r>
            <w:r>
              <w:rPr>
                <w:rFonts w:hint="default" w:ascii="Times New Roman" w:hAnsi="Times New Roman" w:cs="Times New Roman"/>
                <w:sz w:val="20"/>
                <w:szCs w:val="20"/>
              </w:rPr>
              <w:t xml:space="preserve"> (0..9),</w:t>
            </w:r>
          </w:p>
          <w:p w14:paraId="455C07DD">
            <w:pPr>
              <w:pStyle w:val="18"/>
              <w:rPr>
                <w:rFonts w:hint="default" w:ascii="Times New Roman" w:hAnsi="Times New Roman" w:cs="Times New Roman"/>
                <w:sz w:val="20"/>
                <w:szCs w:val="20"/>
              </w:rPr>
            </w:pPr>
            <w:r>
              <w:rPr>
                <w:rFonts w:hint="default" w:ascii="Times New Roman" w:hAnsi="Times New Roman" w:cs="Times New Roman"/>
                <w:sz w:val="20"/>
                <w:szCs w:val="20"/>
              </w:rPr>
              <w:t xml:space="preserve">    slots16                                 </w:t>
            </w:r>
            <w:r>
              <w:rPr>
                <w:rFonts w:hint="default" w:ascii="Times New Roman" w:hAnsi="Times New Roman" w:cs="Times New Roman"/>
                <w:color w:val="993366"/>
                <w:sz w:val="20"/>
                <w:szCs w:val="20"/>
              </w:rPr>
              <w:t>INTEGER</w:t>
            </w:r>
            <w:r>
              <w:rPr>
                <w:rFonts w:hint="default" w:ascii="Times New Roman" w:hAnsi="Times New Roman" w:cs="Times New Roman"/>
                <w:sz w:val="20"/>
                <w:szCs w:val="20"/>
              </w:rPr>
              <w:t xml:space="preserve"> (0..15),</w:t>
            </w:r>
          </w:p>
          <w:p w14:paraId="76A68A3D">
            <w:pPr>
              <w:pStyle w:val="18"/>
              <w:rPr>
                <w:rFonts w:hint="default" w:ascii="Times New Roman" w:hAnsi="Times New Roman" w:cs="Times New Roman"/>
                <w:sz w:val="20"/>
                <w:szCs w:val="20"/>
              </w:rPr>
            </w:pPr>
            <w:r>
              <w:rPr>
                <w:rFonts w:hint="default" w:ascii="Times New Roman" w:hAnsi="Times New Roman" w:cs="Times New Roman"/>
                <w:sz w:val="20"/>
                <w:szCs w:val="20"/>
              </w:rPr>
              <w:t xml:space="preserve">    slots20                                 </w:t>
            </w:r>
            <w:r>
              <w:rPr>
                <w:rFonts w:hint="default" w:ascii="Times New Roman" w:hAnsi="Times New Roman" w:cs="Times New Roman"/>
                <w:color w:val="993366"/>
                <w:sz w:val="20"/>
                <w:szCs w:val="20"/>
              </w:rPr>
              <w:t>INTEGER</w:t>
            </w:r>
            <w:r>
              <w:rPr>
                <w:rFonts w:hint="default" w:ascii="Times New Roman" w:hAnsi="Times New Roman" w:cs="Times New Roman"/>
                <w:sz w:val="20"/>
                <w:szCs w:val="20"/>
              </w:rPr>
              <w:t xml:space="preserve"> (0..19),</w:t>
            </w:r>
          </w:p>
          <w:p w14:paraId="6E124802">
            <w:pPr>
              <w:pStyle w:val="18"/>
              <w:rPr>
                <w:rFonts w:hint="default" w:ascii="Times New Roman" w:hAnsi="Times New Roman" w:cs="Times New Roman"/>
                <w:sz w:val="20"/>
                <w:szCs w:val="20"/>
              </w:rPr>
            </w:pPr>
            <w:r>
              <w:rPr>
                <w:rFonts w:hint="default" w:ascii="Times New Roman" w:hAnsi="Times New Roman" w:cs="Times New Roman"/>
                <w:sz w:val="20"/>
                <w:szCs w:val="20"/>
              </w:rPr>
              <w:t xml:space="preserve">    slots32                                 </w:t>
            </w:r>
            <w:r>
              <w:rPr>
                <w:rFonts w:hint="default" w:ascii="Times New Roman" w:hAnsi="Times New Roman" w:cs="Times New Roman"/>
                <w:color w:val="993366"/>
                <w:sz w:val="20"/>
                <w:szCs w:val="20"/>
              </w:rPr>
              <w:t>INTEGER</w:t>
            </w:r>
            <w:r>
              <w:rPr>
                <w:rFonts w:hint="default" w:ascii="Times New Roman" w:hAnsi="Times New Roman" w:cs="Times New Roman"/>
                <w:sz w:val="20"/>
                <w:szCs w:val="20"/>
              </w:rPr>
              <w:t xml:space="preserve"> (0..31),</w:t>
            </w:r>
          </w:p>
          <w:p w14:paraId="4E616CB0">
            <w:pPr>
              <w:pStyle w:val="18"/>
              <w:rPr>
                <w:rFonts w:hint="default" w:ascii="Times New Roman" w:hAnsi="Times New Roman" w:cs="Times New Roman"/>
                <w:sz w:val="20"/>
                <w:szCs w:val="20"/>
              </w:rPr>
            </w:pPr>
            <w:r>
              <w:rPr>
                <w:rFonts w:hint="default" w:ascii="Times New Roman" w:hAnsi="Times New Roman" w:cs="Times New Roman"/>
                <w:sz w:val="20"/>
                <w:szCs w:val="20"/>
              </w:rPr>
              <w:t xml:space="preserve">    slots40                                 </w:t>
            </w:r>
            <w:r>
              <w:rPr>
                <w:rFonts w:hint="default" w:ascii="Times New Roman" w:hAnsi="Times New Roman" w:cs="Times New Roman"/>
                <w:color w:val="993366"/>
                <w:sz w:val="20"/>
                <w:szCs w:val="20"/>
              </w:rPr>
              <w:t>INTEGER</w:t>
            </w:r>
            <w:r>
              <w:rPr>
                <w:rFonts w:hint="default" w:ascii="Times New Roman" w:hAnsi="Times New Roman" w:cs="Times New Roman"/>
                <w:sz w:val="20"/>
                <w:szCs w:val="20"/>
              </w:rPr>
              <w:t xml:space="preserve"> (0..39),</w:t>
            </w:r>
          </w:p>
          <w:p w14:paraId="0A936E70">
            <w:pPr>
              <w:pStyle w:val="18"/>
              <w:rPr>
                <w:rFonts w:hint="default" w:ascii="Times New Roman" w:hAnsi="Times New Roman" w:cs="Times New Roman"/>
                <w:sz w:val="20"/>
                <w:szCs w:val="20"/>
              </w:rPr>
            </w:pPr>
            <w:r>
              <w:rPr>
                <w:rFonts w:hint="default" w:ascii="Times New Roman" w:hAnsi="Times New Roman" w:cs="Times New Roman"/>
                <w:sz w:val="20"/>
                <w:szCs w:val="20"/>
              </w:rPr>
              <w:t xml:space="preserve">    slots64                                 </w:t>
            </w:r>
            <w:r>
              <w:rPr>
                <w:rFonts w:hint="default" w:ascii="Times New Roman" w:hAnsi="Times New Roman" w:cs="Times New Roman"/>
                <w:color w:val="993366"/>
                <w:sz w:val="20"/>
                <w:szCs w:val="20"/>
              </w:rPr>
              <w:t>INTEGER</w:t>
            </w:r>
            <w:r>
              <w:rPr>
                <w:rFonts w:hint="default" w:ascii="Times New Roman" w:hAnsi="Times New Roman" w:cs="Times New Roman"/>
                <w:sz w:val="20"/>
                <w:szCs w:val="20"/>
              </w:rPr>
              <w:t xml:space="preserve"> (0..63),</w:t>
            </w:r>
          </w:p>
          <w:p w14:paraId="550071A3">
            <w:pPr>
              <w:pStyle w:val="18"/>
              <w:rPr>
                <w:rFonts w:hint="default" w:ascii="Times New Roman" w:hAnsi="Times New Roman" w:cs="Times New Roman"/>
                <w:sz w:val="20"/>
                <w:szCs w:val="20"/>
              </w:rPr>
            </w:pPr>
            <w:r>
              <w:rPr>
                <w:rFonts w:hint="default" w:ascii="Times New Roman" w:hAnsi="Times New Roman" w:cs="Times New Roman"/>
                <w:sz w:val="20"/>
                <w:szCs w:val="20"/>
              </w:rPr>
              <w:t xml:space="preserve">    slots80                                 </w:t>
            </w:r>
            <w:r>
              <w:rPr>
                <w:rFonts w:hint="default" w:ascii="Times New Roman" w:hAnsi="Times New Roman" w:cs="Times New Roman"/>
                <w:color w:val="993366"/>
                <w:sz w:val="20"/>
                <w:szCs w:val="20"/>
              </w:rPr>
              <w:t>INTEGER</w:t>
            </w:r>
            <w:r>
              <w:rPr>
                <w:rFonts w:hint="default" w:ascii="Times New Roman" w:hAnsi="Times New Roman" w:cs="Times New Roman"/>
                <w:sz w:val="20"/>
                <w:szCs w:val="20"/>
              </w:rPr>
              <w:t xml:space="preserve"> (0..79),</w:t>
            </w:r>
          </w:p>
          <w:p w14:paraId="0D1467D7">
            <w:pPr>
              <w:pStyle w:val="18"/>
              <w:rPr>
                <w:rFonts w:hint="default" w:ascii="Times New Roman" w:hAnsi="Times New Roman" w:cs="Times New Roman"/>
                <w:sz w:val="20"/>
                <w:szCs w:val="20"/>
              </w:rPr>
            </w:pPr>
            <w:r>
              <w:rPr>
                <w:rFonts w:hint="default" w:ascii="Times New Roman" w:hAnsi="Times New Roman" w:cs="Times New Roman"/>
                <w:sz w:val="20"/>
                <w:szCs w:val="20"/>
              </w:rPr>
              <w:t xml:space="preserve">    slots160                                </w:t>
            </w:r>
            <w:r>
              <w:rPr>
                <w:rFonts w:hint="default" w:ascii="Times New Roman" w:hAnsi="Times New Roman" w:cs="Times New Roman"/>
                <w:color w:val="993366"/>
                <w:sz w:val="20"/>
                <w:szCs w:val="20"/>
              </w:rPr>
              <w:t>INTEGER</w:t>
            </w:r>
            <w:r>
              <w:rPr>
                <w:rFonts w:hint="default" w:ascii="Times New Roman" w:hAnsi="Times New Roman" w:cs="Times New Roman"/>
                <w:sz w:val="20"/>
                <w:szCs w:val="20"/>
              </w:rPr>
              <w:t xml:space="preserve"> (0..159),</w:t>
            </w:r>
          </w:p>
          <w:p w14:paraId="62E04C9D">
            <w:pPr>
              <w:pStyle w:val="18"/>
              <w:rPr>
                <w:rFonts w:hint="default" w:ascii="Times New Roman" w:hAnsi="Times New Roman" w:cs="Times New Roman"/>
                <w:sz w:val="20"/>
                <w:szCs w:val="20"/>
              </w:rPr>
            </w:pPr>
            <w:r>
              <w:rPr>
                <w:rFonts w:hint="default" w:ascii="Times New Roman" w:hAnsi="Times New Roman" w:cs="Times New Roman"/>
                <w:sz w:val="20"/>
                <w:szCs w:val="20"/>
              </w:rPr>
              <w:t xml:space="preserve">    slots320                                </w:t>
            </w:r>
            <w:r>
              <w:rPr>
                <w:rFonts w:hint="default" w:ascii="Times New Roman" w:hAnsi="Times New Roman" w:cs="Times New Roman"/>
                <w:color w:val="993366"/>
                <w:sz w:val="20"/>
                <w:szCs w:val="20"/>
              </w:rPr>
              <w:t>INTEGER</w:t>
            </w:r>
            <w:r>
              <w:rPr>
                <w:rFonts w:hint="default" w:ascii="Times New Roman" w:hAnsi="Times New Roman" w:cs="Times New Roman"/>
                <w:sz w:val="20"/>
                <w:szCs w:val="20"/>
              </w:rPr>
              <w:t xml:space="preserve"> (0..319),</w:t>
            </w:r>
          </w:p>
          <w:p w14:paraId="51E81500">
            <w:pPr>
              <w:pStyle w:val="18"/>
              <w:rPr>
                <w:rFonts w:hint="default" w:ascii="Times New Roman" w:hAnsi="Times New Roman" w:cs="Times New Roman"/>
                <w:sz w:val="20"/>
                <w:szCs w:val="20"/>
              </w:rPr>
            </w:pPr>
            <w:r>
              <w:rPr>
                <w:rFonts w:hint="default" w:ascii="Times New Roman" w:hAnsi="Times New Roman" w:cs="Times New Roman"/>
                <w:sz w:val="20"/>
                <w:szCs w:val="20"/>
              </w:rPr>
              <w:t xml:space="preserve">    slots640                                </w:t>
            </w:r>
            <w:r>
              <w:rPr>
                <w:rFonts w:hint="default" w:ascii="Times New Roman" w:hAnsi="Times New Roman" w:cs="Times New Roman"/>
                <w:color w:val="993366"/>
                <w:sz w:val="20"/>
                <w:szCs w:val="20"/>
              </w:rPr>
              <w:t>INTEGER</w:t>
            </w:r>
            <w:r>
              <w:rPr>
                <w:rFonts w:hint="default" w:ascii="Times New Roman" w:hAnsi="Times New Roman" w:cs="Times New Roman"/>
                <w:sz w:val="20"/>
                <w:szCs w:val="20"/>
              </w:rPr>
              <w:t xml:space="preserve"> (0..639)</w:t>
            </w:r>
          </w:p>
          <w:p w14:paraId="4F7A8567">
            <w:pPr>
              <w:pStyle w:val="18"/>
              <w:rPr>
                <w:rFonts w:hint="default" w:ascii="Times New Roman" w:hAnsi="Times New Roman" w:cs="Times New Roman"/>
                <w:sz w:val="20"/>
                <w:szCs w:val="20"/>
              </w:rPr>
            </w:pPr>
            <w:r>
              <w:rPr>
                <w:rFonts w:hint="default" w:ascii="Times New Roman" w:hAnsi="Times New Roman" w:cs="Times New Roman"/>
                <w:sz w:val="20"/>
                <w:szCs w:val="20"/>
              </w:rPr>
              <w:t>}</w:t>
            </w:r>
          </w:p>
          <w:p w14:paraId="69B53AC5">
            <w:pPr>
              <w:pStyle w:val="18"/>
              <w:rPr>
                <w:rFonts w:hint="default" w:ascii="Times New Roman" w:hAnsi="Times New Roman" w:cs="Times New Roman"/>
                <w:sz w:val="20"/>
                <w:szCs w:val="20"/>
              </w:rPr>
            </w:pPr>
          </w:p>
          <w:p w14:paraId="160D39EC">
            <w:pPr>
              <w:pStyle w:val="18"/>
              <w:rPr>
                <w:rFonts w:hint="default" w:ascii="Times New Roman" w:hAnsi="Times New Roman" w:cs="Times New Roman"/>
                <w:sz w:val="20"/>
                <w:szCs w:val="20"/>
              </w:rPr>
            </w:pPr>
            <w:r>
              <w:rPr>
                <w:rFonts w:hint="default" w:ascii="Times New Roman" w:hAnsi="Times New Roman" w:cs="Times New Roman"/>
                <w:sz w:val="20"/>
                <w:szCs w:val="20"/>
              </w:rPr>
              <w:t xml:space="preserve">CSI-ReportPeriodicityAndOffset ::=  </w:t>
            </w:r>
            <w:r>
              <w:rPr>
                <w:rFonts w:hint="default" w:ascii="Times New Roman" w:hAnsi="Times New Roman" w:cs="Times New Roman"/>
                <w:color w:val="993366"/>
                <w:sz w:val="20"/>
                <w:szCs w:val="20"/>
              </w:rPr>
              <w:t>CHOICE</w:t>
            </w:r>
            <w:r>
              <w:rPr>
                <w:rFonts w:hint="default" w:ascii="Times New Roman" w:hAnsi="Times New Roman" w:cs="Times New Roman"/>
                <w:sz w:val="20"/>
                <w:szCs w:val="20"/>
              </w:rPr>
              <w:t xml:space="preserve"> {</w:t>
            </w:r>
          </w:p>
          <w:p w14:paraId="1473DE44">
            <w:pPr>
              <w:pStyle w:val="18"/>
              <w:rPr>
                <w:rFonts w:hint="default" w:ascii="Times New Roman" w:hAnsi="Times New Roman" w:cs="Times New Roman"/>
                <w:sz w:val="20"/>
                <w:szCs w:val="20"/>
              </w:rPr>
            </w:pPr>
            <w:r>
              <w:rPr>
                <w:rFonts w:hint="default" w:ascii="Times New Roman" w:hAnsi="Times New Roman" w:cs="Times New Roman"/>
                <w:sz w:val="20"/>
                <w:szCs w:val="20"/>
              </w:rPr>
              <w:t xml:space="preserve">    slots4                              </w:t>
            </w:r>
            <w:r>
              <w:rPr>
                <w:rFonts w:hint="default" w:ascii="Times New Roman" w:hAnsi="Times New Roman" w:cs="Times New Roman"/>
                <w:color w:val="993366"/>
                <w:sz w:val="20"/>
                <w:szCs w:val="20"/>
              </w:rPr>
              <w:t>INTEGER</w:t>
            </w:r>
            <w:r>
              <w:rPr>
                <w:rFonts w:hint="default" w:ascii="Times New Roman" w:hAnsi="Times New Roman" w:cs="Times New Roman"/>
                <w:sz w:val="20"/>
                <w:szCs w:val="20"/>
              </w:rPr>
              <w:t>(0..3),</w:t>
            </w:r>
          </w:p>
          <w:p w14:paraId="3C228DC7">
            <w:pPr>
              <w:pStyle w:val="18"/>
              <w:rPr>
                <w:rFonts w:hint="default" w:ascii="Times New Roman" w:hAnsi="Times New Roman" w:cs="Times New Roman"/>
                <w:sz w:val="20"/>
                <w:szCs w:val="20"/>
              </w:rPr>
            </w:pPr>
            <w:r>
              <w:rPr>
                <w:rFonts w:hint="default" w:ascii="Times New Roman" w:hAnsi="Times New Roman" w:cs="Times New Roman"/>
                <w:sz w:val="20"/>
                <w:szCs w:val="20"/>
              </w:rPr>
              <w:t xml:space="preserve">    slots5                              </w:t>
            </w:r>
            <w:r>
              <w:rPr>
                <w:rFonts w:hint="default" w:ascii="Times New Roman" w:hAnsi="Times New Roman" w:cs="Times New Roman"/>
                <w:color w:val="993366"/>
                <w:sz w:val="20"/>
                <w:szCs w:val="20"/>
              </w:rPr>
              <w:t>INTEGER</w:t>
            </w:r>
            <w:r>
              <w:rPr>
                <w:rFonts w:hint="default" w:ascii="Times New Roman" w:hAnsi="Times New Roman" w:cs="Times New Roman"/>
                <w:sz w:val="20"/>
                <w:szCs w:val="20"/>
              </w:rPr>
              <w:t>(0..4),</w:t>
            </w:r>
          </w:p>
          <w:p w14:paraId="14A5D22E">
            <w:pPr>
              <w:pStyle w:val="18"/>
              <w:rPr>
                <w:rFonts w:hint="default" w:ascii="Times New Roman" w:hAnsi="Times New Roman" w:cs="Times New Roman"/>
                <w:sz w:val="20"/>
                <w:szCs w:val="20"/>
              </w:rPr>
            </w:pPr>
            <w:r>
              <w:rPr>
                <w:rFonts w:hint="default" w:ascii="Times New Roman" w:hAnsi="Times New Roman" w:cs="Times New Roman"/>
                <w:sz w:val="20"/>
                <w:szCs w:val="20"/>
              </w:rPr>
              <w:t xml:space="preserve">    slots8                              </w:t>
            </w:r>
            <w:r>
              <w:rPr>
                <w:rFonts w:hint="default" w:ascii="Times New Roman" w:hAnsi="Times New Roman" w:cs="Times New Roman"/>
                <w:color w:val="993366"/>
                <w:sz w:val="20"/>
                <w:szCs w:val="20"/>
              </w:rPr>
              <w:t>INTEGER</w:t>
            </w:r>
            <w:r>
              <w:rPr>
                <w:rFonts w:hint="default" w:ascii="Times New Roman" w:hAnsi="Times New Roman" w:cs="Times New Roman"/>
                <w:sz w:val="20"/>
                <w:szCs w:val="20"/>
              </w:rPr>
              <w:t>(0..7),</w:t>
            </w:r>
          </w:p>
          <w:p w14:paraId="387CDBBE">
            <w:pPr>
              <w:pStyle w:val="18"/>
              <w:rPr>
                <w:rFonts w:hint="default" w:ascii="Times New Roman" w:hAnsi="Times New Roman" w:cs="Times New Roman"/>
                <w:sz w:val="20"/>
                <w:szCs w:val="20"/>
              </w:rPr>
            </w:pPr>
            <w:r>
              <w:rPr>
                <w:rFonts w:hint="default" w:ascii="Times New Roman" w:hAnsi="Times New Roman" w:cs="Times New Roman"/>
                <w:sz w:val="20"/>
                <w:szCs w:val="20"/>
              </w:rPr>
              <w:t xml:space="preserve">    slots10                             </w:t>
            </w:r>
            <w:r>
              <w:rPr>
                <w:rFonts w:hint="default" w:ascii="Times New Roman" w:hAnsi="Times New Roman" w:cs="Times New Roman"/>
                <w:color w:val="993366"/>
                <w:sz w:val="20"/>
                <w:szCs w:val="20"/>
              </w:rPr>
              <w:t>INTEGER</w:t>
            </w:r>
            <w:r>
              <w:rPr>
                <w:rFonts w:hint="default" w:ascii="Times New Roman" w:hAnsi="Times New Roman" w:cs="Times New Roman"/>
                <w:sz w:val="20"/>
                <w:szCs w:val="20"/>
              </w:rPr>
              <w:t>(0..9),</w:t>
            </w:r>
          </w:p>
          <w:p w14:paraId="2906E83C">
            <w:pPr>
              <w:pStyle w:val="18"/>
              <w:rPr>
                <w:rFonts w:hint="default" w:ascii="Times New Roman" w:hAnsi="Times New Roman" w:cs="Times New Roman"/>
                <w:sz w:val="20"/>
                <w:szCs w:val="20"/>
              </w:rPr>
            </w:pPr>
            <w:r>
              <w:rPr>
                <w:rFonts w:hint="default" w:ascii="Times New Roman" w:hAnsi="Times New Roman" w:cs="Times New Roman"/>
                <w:sz w:val="20"/>
                <w:szCs w:val="20"/>
              </w:rPr>
              <w:t xml:space="preserve">    slots16                             </w:t>
            </w:r>
            <w:r>
              <w:rPr>
                <w:rFonts w:hint="default" w:ascii="Times New Roman" w:hAnsi="Times New Roman" w:cs="Times New Roman"/>
                <w:color w:val="993366"/>
                <w:sz w:val="20"/>
                <w:szCs w:val="20"/>
              </w:rPr>
              <w:t>INTEGER</w:t>
            </w:r>
            <w:r>
              <w:rPr>
                <w:rFonts w:hint="default" w:ascii="Times New Roman" w:hAnsi="Times New Roman" w:cs="Times New Roman"/>
                <w:sz w:val="20"/>
                <w:szCs w:val="20"/>
              </w:rPr>
              <w:t>(0..15),</w:t>
            </w:r>
          </w:p>
          <w:p w14:paraId="090801F8">
            <w:pPr>
              <w:pStyle w:val="18"/>
              <w:rPr>
                <w:rFonts w:hint="default" w:ascii="Times New Roman" w:hAnsi="Times New Roman" w:cs="Times New Roman"/>
                <w:sz w:val="20"/>
                <w:szCs w:val="20"/>
              </w:rPr>
            </w:pPr>
            <w:r>
              <w:rPr>
                <w:rFonts w:hint="default" w:ascii="Times New Roman" w:hAnsi="Times New Roman" w:cs="Times New Roman"/>
                <w:sz w:val="20"/>
                <w:szCs w:val="20"/>
              </w:rPr>
              <w:t xml:space="preserve">    slots20                             </w:t>
            </w:r>
            <w:r>
              <w:rPr>
                <w:rFonts w:hint="default" w:ascii="Times New Roman" w:hAnsi="Times New Roman" w:cs="Times New Roman"/>
                <w:color w:val="993366"/>
                <w:sz w:val="20"/>
                <w:szCs w:val="20"/>
              </w:rPr>
              <w:t>INTEGER</w:t>
            </w:r>
            <w:r>
              <w:rPr>
                <w:rFonts w:hint="default" w:ascii="Times New Roman" w:hAnsi="Times New Roman" w:cs="Times New Roman"/>
                <w:sz w:val="20"/>
                <w:szCs w:val="20"/>
              </w:rPr>
              <w:t>(0..19),</w:t>
            </w:r>
          </w:p>
          <w:p w14:paraId="1340351A">
            <w:pPr>
              <w:pStyle w:val="18"/>
              <w:rPr>
                <w:rFonts w:hint="default" w:ascii="Times New Roman" w:hAnsi="Times New Roman" w:cs="Times New Roman"/>
                <w:sz w:val="20"/>
                <w:szCs w:val="20"/>
              </w:rPr>
            </w:pPr>
            <w:r>
              <w:rPr>
                <w:rFonts w:hint="default" w:ascii="Times New Roman" w:hAnsi="Times New Roman" w:cs="Times New Roman"/>
                <w:sz w:val="20"/>
                <w:szCs w:val="20"/>
              </w:rPr>
              <w:t xml:space="preserve">    slots40                             </w:t>
            </w:r>
            <w:r>
              <w:rPr>
                <w:rFonts w:hint="default" w:ascii="Times New Roman" w:hAnsi="Times New Roman" w:cs="Times New Roman"/>
                <w:color w:val="993366"/>
                <w:sz w:val="20"/>
                <w:szCs w:val="20"/>
              </w:rPr>
              <w:t>INTEGER</w:t>
            </w:r>
            <w:r>
              <w:rPr>
                <w:rFonts w:hint="default" w:ascii="Times New Roman" w:hAnsi="Times New Roman" w:cs="Times New Roman"/>
                <w:sz w:val="20"/>
                <w:szCs w:val="20"/>
              </w:rPr>
              <w:t>(0..39),</w:t>
            </w:r>
          </w:p>
          <w:p w14:paraId="2141EE27">
            <w:pPr>
              <w:pStyle w:val="18"/>
              <w:rPr>
                <w:rFonts w:hint="default" w:ascii="Times New Roman" w:hAnsi="Times New Roman" w:cs="Times New Roman"/>
                <w:sz w:val="20"/>
                <w:szCs w:val="20"/>
              </w:rPr>
            </w:pPr>
            <w:r>
              <w:rPr>
                <w:rFonts w:hint="default" w:ascii="Times New Roman" w:hAnsi="Times New Roman" w:cs="Times New Roman"/>
                <w:sz w:val="20"/>
                <w:szCs w:val="20"/>
              </w:rPr>
              <w:t xml:space="preserve">    slots80                             </w:t>
            </w:r>
            <w:r>
              <w:rPr>
                <w:rFonts w:hint="default" w:ascii="Times New Roman" w:hAnsi="Times New Roman" w:cs="Times New Roman"/>
                <w:color w:val="993366"/>
                <w:sz w:val="20"/>
                <w:szCs w:val="20"/>
              </w:rPr>
              <w:t>INTEGER</w:t>
            </w:r>
            <w:r>
              <w:rPr>
                <w:rFonts w:hint="default" w:ascii="Times New Roman" w:hAnsi="Times New Roman" w:cs="Times New Roman"/>
                <w:sz w:val="20"/>
                <w:szCs w:val="20"/>
              </w:rPr>
              <w:t>(0..79),</w:t>
            </w:r>
          </w:p>
          <w:p w14:paraId="795A217C">
            <w:pPr>
              <w:pStyle w:val="18"/>
              <w:rPr>
                <w:rFonts w:hint="default" w:ascii="Times New Roman" w:hAnsi="Times New Roman" w:cs="Times New Roman"/>
                <w:sz w:val="20"/>
                <w:szCs w:val="20"/>
              </w:rPr>
            </w:pPr>
            <w:r>
              <w:rPr>
                <w:rFonts w:hint="default" w:ascii="Times New Roman" w:hAnsi="Times New Roman" w:cs="Times New Roman"/>
                <w:sz w:val="20"/>
                <w:szCs w:val="20"/>
              </w:rPr>
              <w:t xml:space="preserve">    slots160                            </w:t>
            </w:r>
            <w:r>
              <w:rPr>
                <w:rFonts w:hint="default" w:ascii="Times New Roman" w:hAnsi="Times New Roman" w:cs="Times New Roman"/>
                <w:color w:val="993366"/>
                <w:sz w:val="20"/>
                <w:szCs w:val="20"/>
              </w:rPr>
              <w:t>INTEGER</w:t>
            </w:r>
            <w:r>
              <w:rPr>
                <w:rFonts w:hint="default" w:ascii="Times New Roman" w:hAnsi="Times New Roman" w:cs="Times New Roman"/>
                <w:sz w:val="20"/>
                <w:szCs w:val="20"/>
              </w:rPr>
              <w:t>(0..159),</w:t>
            </w:r>
          </w:p>
          <w:p w14:paraId="11C391A7">
            <w:pPr>
              <w:pStyle w:val="18"/>
              <w:rPr>
                <w:rFonts w:hint="default" w:ascii="Times New Roman" w:hAnsi="Times New Roman" w:cs="Times New Roman"/>
                <w:sz w:val="20"/>
                <w:szCs w:val="20"/>
              </w:rPr>
            </w:pPr>
            <w:r>
              <w:rPr>
                <w:rFonts w:hint="default" w:ascii="Times New Roman" w:hAnsi="Times New Roman" w:cs="Times New Roman"/>
                <w:sz w:val="20"/>
                <w:szCs w:val="20"/>
              </w:rPr>
              <w:t xml:space="preserve">    slots320                            </w:t>
            </w:r>
            <w:r>
              <w:rPr>
                <w:rFonts w:hint="default" w:ascii="Times New Roman" w:hAnsi="Times New Roman" w:cs="Times New Roman"/>
                <w:color w:val="993366"/>
                <w:sz w:val="20"/>
                <w:szCs w:val="20"/>
              </w:rPr>
              <w:t>INTEGER</w:t>
            </w:r>
            <w:r>
              <w:rPr>
                <w:rFonts w:hint="default" w:ascii="Times New Roman" w:hAnsi="Times New Roman" w:cs="Times New Roman"/>
                <w:sz w:val="20"/>
                <w:szCs w:val="20"/>
              </w:rPr>
              <w:t>(0..319)</w:t>
            </w:r>
          </w:p>
          <w:p w14:paraId="16B77409">
            <w:pPr>
              <w:pStyle w:val="18"/>
              <w:rPr>
                <w:rFonts w:hint="default" w:ascii="Times New Roman" w:hAnsi="Times New Roman" w:cs="Times New Roman"/>
                <w:sz w:val="20"/>
                <w:szCs w:val="20"/>
              </w:rPr>
            </w:pPr>
            <w:r>
              <w:rPr>
                <w:rFonts w:hint="default" w:ascii="Times New Roman" w:hAnsi="Times New Roman" w:cs="Times New Roman"/>
                <w:sz w:val="20"/>
                <w:szCs w:val="20"/>
              </w:rPr>
              <w:t>}</w:t>
            </w:r>
          </w:p>
          <w:p w14:paraId="7B5467B5">
            <w:pPr>
              <w:pStyle w:val="18"/>
              <w:shd w:val="clear" w:color="auto" w:fill="E7E6E6" w:themeFill="background2"/>
              <w:rPr>
                <w:rFonts w:hint="default" w:ascii="Times New Roman" w:hAnsi="Times New Roman" w:cs="Times New Roman"/>
                <w:sz w:val="20"/>
                <w:szCs w:val="20"/>
              </w:rPr>
            </w:pPr>
          </w:p>
          <w:p w14:paraId="06832B8B">
            <w:pPr>
              <w:pStyle w:val="18"/>
              <w:shd w:val="clear" w:color="auto" w:fill="E7E6E6" w:themeFill="background2"/>
              <w:rPr>
                <w:rFonts w:hint="default" w:ascii="Times New Roman" w:hAnsi="Times New Roman" w:cs="Times New Roman"/>
                <w:color w:val="808080"/>
                <w:sz w:val="20"/>
                <w:szCs w:val="20"/>
              </w:rPr>
            </w:pPr>
            <w:r>
              <w:rPr>
                <w:rFonts w:hint="default" w:ascii="Times New Roman" w:hAnsi="Times New Roman" w:cs="Times New Roman"/>
                <w:color w:val="808080"/>
                <w:sz w:val="20"/>
                <w:szCs w:val="20"/>
              </w:rPr>
              <w:t>-- TAG-CSI-RESOURCEPERIODICITYANDOFFSET-STOP</w:t>
            </w:r>
          </w:p>
          <w:p w14:paraId="3C53F33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color w:val="808080"/>
                <w:sz w:val="20"/>
                <w:szCs w:val="20"/>
              </w:rPr>
              <w:t>-- ASN1STOP</w:t>
            </w:r>
          </w:p>
        </w:tc>
      </w:tr>
    </w:tbl>
    <w:p w14:paraId="59F766B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highlight w:val="none"/>
          <w:lang w:val="en-US" w:eastAsia="zh-CN"/>
        </w:rPr>
      </w:pPr>
    </w:p>
    <w:p w14:paraId="3F4E744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highlight w:val="none"/>
          <w:lang w:val="en-US" w:eastAsia="zh-CN"/>
        </w:rPr>
      </w:pPr>
      <w:r>
        <w:rPr>
          <w:rFonts w:hint="eastAsia" w:ascii="Times New Roman" w:hAnsi="Times New Roman"/>
          <w:b/>
          <w:bCs/>
          <w:i/>
          <w:iCs/>
          <w:sz w:val="20"/>
          <w:szCs w:val="20"/>
          <w:highlight w:val="none"/>
          <w:lang w:val="en-US" w:eastAsia="zh-CN"/>
        </w:rPr>
        <w:t xml:space="preserve">Proposal 1: for UE indicating that CSI processing time is scaled by 2, it is proposed to add a lower bound of 8ms on top of existing CSI-RS based L1 measurement period, </w:t>
      </w:r>
      <w:r>
        <w:rPr>
          <w:rFonts w:hint="eastAsia" w:ascii="Times New Roman" w:hAnsi="Times New Roman" w:cs="Times New Roman"/>
          <w:b/>
          <w:bCs/>
          <w:i/>
          <w:iCs/>
          <w:sz w:val="20"/>
          <w:szCs w:val="20"/>
          <w:lang w:val="en-US" w:eastAsia="zh-CN"/>
        </w:rPr>
        <w:t xml:space="preserve">e.g. max (8ms, </w:t>
      </w:r>
      <w:r>
        <w:rPr>
          <w:rFonts w:hint="default" w:ascii="Times New Roman" w:hAnsi="Times New Roman" w:cs="Times New Roman"/>
          <w:b/>
          <w:bCs/>
          <w:i/>
          <w:iCs/>
          <w:sz w:val="20"/>
          <w:szCs w:val="20"/>
        </w:rPr>
        <w:t>T</w:t>
      </w:r>
      <w:r>
        <w:rPr>
          <w:rFonts w:hint="default" w:ascii="Times New Roman" w:hAnsi="Times New Roman" w:cs="Times New Roman"/>
          <w:b/>
          <w:bCs/>
          <w:i/>
          <w:iCs/>
          <w:sz w:val="20"/>
          <w:szCs w:val="20"/>
          <w:vertAlign w:val="subscript"/>
        </w:rPr>
        <w:t>Report</w:t>
      </w:r>
      <w:r>
        <w:rPr>
          <w:rFonts w:hint="default" w:ascii="Times New Roman" w:hAnsi="Times New Roman" w:cs="Times New Roman"/>
          <w:b/>
          <w:bCs/>
          <w:i/>
          <w:iCs/>
          <w:sz w:val="20"/>
          <w:szCs w:val="20"/>
        </w:rPr>
        <w:t>, ceil(M*P)*T</w:t>
      </w:r>
      <w:r>
        <w:rPr>
          <w:rFonts w:hint="default" w:ascii="Times New Roman" w:hAnsi="Times New Roman" w:cs="Times New Roman"/>
          <w:b/>
          <w:bCs/>
          <w:i/>
          <w:iCs/>
          <w:sz w:val="20"/>
          <w:szCs w:val="20"/>
          <w:vertAlign w:val="subscript"/>
        </w:rPr>
        <w:t>CSI-RS</w:t>
      </w:r>
      <w:r>
        <w:rPr>
          <w:rFonts w:hint="eastAsia" w:ascii="Times New Roman" w:hAnsi="Times New Roman" w:cs="Times New Roman"/>
          <w:b/>
          <w:bCs/>
          <w:i/>
          <w:iCs/>
          <w:sz w:val="20"/>
          <w:szCs w:val="20"/>
          <w:lang w:val="en-US" w:eastAsia="zh-CN"/>
        </w:rPr>
        <w:t>)</w:t>
      </w:r>
      <w:r>
        <w:rPr>
          <w:rFonts w:hint="eastAsia" w:ascii="Times New Roman" w:hAnsi="Times New Roman"/>
          <w:b/>
          <w:bCs/>
          <w:i/>
          <w:iCs/>
          <w:sz w:val="20"/>
          <w:szCs w:val="20"/>
          <w:highlight w:val="none"/>
          <w:lang w:val="en-US" w:eastAsia="zh-CN"/>
        </w:rPr>
        <w:t xml:space="preserve"> for non-DRX case.</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8143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3325FBF">
            <w:pPr>
              <w:keepNext/>
              <w:keepLines/>
              <w:numPr>
                <w:ilvl w:val="3"/>
                <w:numId w:val="0"/>
              </w:numPr>
              <w:spacing w:before="120"/>
              <w:ind w:left="864" w:hanging="864"/>
              <w:outlineLvl w:val="3"/>
              <w:rPr>
                <w:rFonts w:hint="default" w:ascii="Times New Roman" w:hAnsi="Times New Roman" w:cs="Times New Roman"/>
                <w:sz w:val="20"/>
                <w:szCs w:val="20"/>
                <w:highlight w:val="none"/>
                <w:lang w:val="sv-SE" w:eastAsia="zh-CN"/>
              </w:rPr>
            </w:pPr>
            <w:r>
              <w:rPr>
                <w:rFonts w:hint="default" w:ascii="Times New Roman" w:hAnsi="Times New Roman" w:cs="Times New Roman"/>
                <w:sz w:val="20"/>
                <w:szCs w:val="20"/>
                <w:highlight w:val="none"/>
                <w:lang w:val="sv-SE" w:eastAsia="zh-CN"/>
              </w:rPr>
              <w:t xml:space="preserve">Issue 2-1-1c: CSI-RS L1 measurement – different symbol types  </w:t>
            </w:r>
          </w:p>
          <w:p w14:paraId="47E852B1">
            <w:pPr>
              <w:numPr>
                <w:ilvl w:val="0"/>
                <w:numId w:val="4"/>
              </w:numPr>
              <w:spacing w:after="120"/>
              <w:ind w:left="720"/>
              <w:rPr>
                <w:rFonts w:hint="default" w:ascii="Times New Roman" w:hAnsi="Times New Roman" w:cs="Times New Roman"/>
                <w:color w:val="0070C0"/>
                <w:sz w:val="20"/>
                <w:szCs w:val="20"/>
                <w:highlight w:val="none"/>
                <w:lang w:eastAsia="zh-CN"/>
              </w:rPr>
            </w:pPr>
            <w:r>
              <w:rPr>
                <w:rFonts w:hint="default" w:ascii="Times New Roman" w:hAnsi="Times New Roman" w:cs="Times New Roman"/>
                <w:color w:val="0070C0"/>
                <w:sz w:val="20"/>
                <w:szCs w:val="20"/>
                <w:highlight w:val="none"/>
                <w:lang w:eastAsia="zh-CN"/>
              </w:rPr>
              <w:t xml:space="preserve">Agreements </w:t>
            </w:r>
          </w:p>
          <w:p w14:paraId="0EF3D757">
            <w:pPr>
              <w:numPr>
                <w:ilvl w:val="1"/>
                <w:numId w:val="4"/>
              </w:numPr>
              <w:spacing w:after="120"/>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For L1-RSRP and L1-SINR</w:t>
            </w:r>
          </w:p>
          <w:p w14:paraId="09F405D6">
            <w:pPr>
              <w:pStyle w:val="11"/>
              <w:numPr>
                <w:ilvl w:val="2"/>
                <w:numId w:val="4"/>
              </w:numPr>
              <w:ind w:firstLineChars="0"/>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For CSI-RS based L1-RSRP/SINR measurements, UE measures the CSI-RS occasions on the valid symbol type indicated by network</w:t>
            </w:r>
          </w:p>
          <w:p w14:paraId="71908BA6">
            <w:pPr>
              <w:pStyle w:val="11"/>
              <w:numPr>
                <w:ilvl w:val="2"/>
                <w:numId w:val="4"/>
              </w:numPr>
              <w:ind w:firstLineChars="0"/>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For L1-RSRP and L1-SINR measurement period, further discuss the following options.</w:t>
            </w:r>
          </w:p>
          <w:p w14:paraId="514A6640">
            <w:pPr>
              <w:pStyle w:val="11"/>
              <w:numPr>
                <w:ilvl w:val="3"/>
                <w:numId w:val="4"/>
              </w:numPr>
              <w:ind w:firstLineChars="0"/>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Option 1: Measurement period for CSI-RS based L1-RSRP/L1-SINR is extended by excluding resource occasions on invalid symbol type following the R16 NR-U approach.</w:t>
            </w:r>
          </w:p>
          <w:p w14:paraId="342338D8">
            <w:pPr>
              <w:pStyle w:val="11"/>
              <w:numPr>
                <w:ilvl w:val="3"/>
                <w:numId w:val="4"/>
              </w:numPr>
              <w:ind w:firstLineChars="0"/>
              <w:rPr>
                <w:rFonts w:hint="default" w:ascii="Times New Roman" w:hAnsi="Times New Roman" w:eastAsia="宋体" w:cs="Times New Roman"/>
                <w:sz w:val="20"/>
                <w:szCs w:val="20"/>
                <w:highlight w:val="none"/>
                <w:lang w:eastAsia="zh-CN"/>
              </w:rPr>
            </w:pPr>
            <w:r>
              <w:rPr>
                <w:rFonts w:hint="default" w:ascii="Times New Roman" w:hAnsi="Times New Roman" w:eastAsia="宋体" w:cs="Times New Roman"/>
                <w:sz w:val="20"/>
                <w:szCs w:val="20"/>
                <w:highlight w:val="none"/>
                <w:lang w:eastAsia="zh-CN"/>
              </w:rPr>
              <w:t>Option 2: other</w:t>
            </w:r>
          </w:p>
          <w:p w14:paraId="42E97876">
            <w:pPr>
              <w:numPr>
                <w:ilvl w:val="1"/>
                <w:numId w:val="4"/>
              </w:numPr>
              <w:spacing w:after="120"/>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For RLM/BFD/CBD, further discuss the following options</w:t>
            </w:r>
          </w:p>
          <w:p w14:paraId="64C9F2D7">
            <w:pPr>
              <w:numPr>
                <w:ilvl w:val="2"/>
                <w:numId w:val="4"/>
              </w:numPr>
              <w:spacing w:after="120"/>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RAN4 to define requirements based on the assumption that occasions of a single CSI-RS resource are all in the same symbol type</w:t>
            </w:r>
          </w:p>
          <w:p w14:paraId="6A6FC4FB">
            <w:pPr>
              <w:numPr>
                <w:ilvl w:val="2"/>
                <w:numId w:val="4"/>
              </w:numPr>
              <w:spacing w:after="120"/>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Existing measurement period apply</w:t>
            </w:r>
          </w:p>
          <w:p w14:paraId="798F72C4">
            <w:pPr>
              <w:pStyle w:val="11"/>
              <w:numPr>
                <w:ilvl w:val="2"/>
                <w:numId w:val="4"/>
              </w:numPr>
              <w:ind w:firstLineChars="0"/>
              <w:rPr>
                <w:rFonts w:hint="default" w:ascii="Times New Roman" w:hAnsi="Times New Roman" w:cs="Times New Roman"/>
                <w:sz w:val="20"/>
                <w:szCs w:val="20"/>
                <w:highlight w:val="none"/>
                <w:vertAlign w:val="baseline"/>
                <w:lang w:val="en-US" w:eastAsia="zh-CN"/>
              </w:rPr>
            </w:pPr>
            <w:r>
              <w:rPr>
                <w:rFonts w:hint="default" w:ascii="Times New Roman" w:hAnsi="Times New Roman" w:eastAsia="宋体" w:cs="Times New Roman"/>
                <w:sz w:val="20"/>
                <w:szCs w:val="20"/>
                <w:highlight w:val="none"/>
                <w:lang w:eastAsia="zh-CN"/>
              </w:rPr>
              <w:t>FFS whether to add Note: For the potential power difference between SBFD symbol and non-SBFD symbol, no RAN4 enhancement on power difference handling in Rel-19</w:t>
            </w:r>
          </w:p>
        </w:tc>
      </w:tr>
    </w:tbl>
    <w:p w14:paraId="43CE0E7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highlight w:val="none"/>
          <w:lang w:val="en-US" w:eastAsia="zh-CN"/>
        </w:rPr>
      </w:pPr>
    </w:p>
    <w:p w14:paraId="0F6050D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highlight w:val="none"/>
          <w:lang w:val="en-US" w:eastAsia="zh-CN"/>
        </w:rPr>
      </w:pPr>
      <w:r>
        <w:rPr>
          <w:rFonts w:hint="eastAsia" w:ascii="Times New Roman" w:hAnsi="Times New Roman"/>
          <w:sz w:val="20"/>
          <w:szCs w:val="20"/>
          <w:highlight w:val="none"/>
          <w:lang w:val="en-US" w:eastAsia="zh-CN"/>
        </w:rPr>
        <w:t xml:space="preserve">In last meeting, it was agreed that for </w:t>
      </w:r>
      <w:r>
        <w:rPr>
          <w:rFonts w:hint="default" w:ascii="Times New Roman" w:hAnsi="Times New Roman" w:eastAsia="宋体" w:cs="Times New Roman"/>
          <w:sz w:val="20"/>
          <w:szCs w:val="20"/>
          <w:highlight w:val="none"/>
          <w:lang w:eastAsia="zh-CN"/>
        </w:rPr>
        <w:t>CSI-RS based L1-RSRP/SINR measurements, UE measures the CSI-RS occasions on the valid symbol type indicated by network</w:t>
      </w:r>
      <w:r>
        <w:rPr>
          <w:rFonts w:hint="eastAsia" w:ascii="Times New Roman" w:hAnsi="Times New Roman" w:cs="Times New Roman"/>
          <w:sz w:val="20"/>
          <w:szCs w:val="20"/>
          <w:highlight w:val="none"/>
          <w:lang w:val="en-US" w:eastAsia="zh-CN"/>
        </w:rPr>
        <w:t xml:space="preserve">. As for the impact on </w:t>
      </w:r>
      <w:r>
        <w:rPr>
          <w:rFonts w:hint="default" w:ascii="Times New Roman" w:hAnsi="Times New Roman" w:eastAsia="宋体" w:cs="Times New Roman"/>
          <w:sz w:val="20"/>
          <w:szCs w:val="20"/>
          <w:highlight w:val="none"/>
          <w:lang w:eastAsia="zh-CN"/>
        </w:rPr>
        <w:t>L1-RSRP and L1-SINR measurement period,</w:t>
      </w:r>
      <w:r>
        <w:rPr>
          <w:rFonts w:hint="eastAsia" w:ascii="Times New Roman" w:hAnsi="Times New Roman" w:cs="Times New Roman"/>
          <w:sz w:val="20"/>
          <w:szCs w:val="20"/>
          <w:highlight w:val="none"/>
          <w:lang w:val="en-US" w:eastAsia="zh-CN"/>
        </w:rPr>
        <w:t xml:space="preserve"> it is necessary to define the delay requirements, and it is reasonable to follow</w:t>
      </w:r>
      <w:r>
        <w:rPr>
          <w:rFonts w:hint="default" w:ascii="Times New Roman" w:hAnsi="Times New Roman" w:eastAsia="宋体" w:cs="Times New Roman"/>
          <w:sz w:val="20"/>
          <w:szCs w:val="20"/>
          <w:highlight w:val="none"/>
          <w:lang w:eastAsia="zh-CN"/>
        </w:rPr>
        <w:t xml:space="preserve"> NR-U approach</w:t>
      </w:r>
      <w:r>
        <w:rPr>
          <w:rFonts w:hint="eastAsia" w:ascii="Times New Roman" w:hAnsi="Times New Roman" w:cs="Times New Roman"/>
          <w:sz w:val="20"/>
          <w:szCs w:val="20"/>
          <w:highlight w:val="none"/>
          <w:lang w:val="en-US" w:eastAsia="zh-CN"/>
        </w:rPr>
        <w:t xml:space="preserve"> to extend measurement period by excluding the resource occasions on invalid symbols. Similar issue exist for CSI-RS L1 measurement colliding with UL. It was agreed that dynamically scheduled UL transmission is prioritized over periodic/semi-persistent CSI-RS resource for L1-RSRP/SINR and RLM/BFD/CBD measurement. And measurement period for periodic/semi-persistent CSI-RS based L1-RSRP/SINR and RLM/BFD/CBD is extended for collision with dynamically scheduled UL transmission following the R16 NR-U approach. From the perspective on how to handle the unusable resource occasions, the case of colliding with UL and the case of measurement on valid symbols are same. It is preferred to follow the same way.</w:t>
      </w:r>
    </w:p>
    <w:p w14:paraId="78921E5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Proposal 2: it is proposed that measurement period for CSI-RS based L1-RSRP/L1-SINR is extended by excluding resource occasions on invalid symbol following the R16 NR-U approach.</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3F5A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BD6B732">
            <w:pPr>
              <w:pStyle w:val="5"/>
              <w:tabs>
                <w:tab w:val="left" w:pos="432"/>
                <w:tab w:val="clear" w:pos="864"/>
              </w:tabs>
              <w:rPr>
                <w:rFonts w:hint="default" w:ascii="Times New Roman" w:hAnsi="Times New Roman" w:cs="Times New Roman"/>
                <w:sz w:val="20"/>
                <w:szCs w:val="20"/>
              </w:rPr>
            </w:pPr>
            <w:r>
              <w:rPr>
                <w:rFonts w:hint="default" w:ascii="Times New Roman" w:hAnsi="Times New Roman" w:cs="Times New Roman"/>
                <w:sz w:val="20"/>
                <w:szCs w:val="20"/>
              </w:rPr>
              <w:t xml:space="preserve">Issue 2-1-2: Requirements for CSI-RS based L3 measurement </w:t>
            </w:r>
          </w:p>
          <w:p w14:paraId="680387A9">
            <w:pPr>
              <w:pStyle w:val="11"/>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Proposals for requirements for DUD case</w:t>
            </w:r>
          </w:p>
          <w:p w14:paraId="7E2F9901">
            <w:pPr>
              <w:pStyle w:val="11"/>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 xml:space="preserve">Proposal 1 (CATT, Nokia, E///, ZTE): </w:t>
            </w:r>
          </w:p>
          <w:p w14:paraId="7ED31912">
            <w:pPr>
              <w:pStyle w:val="11"/>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cs="Times New Roman"/>
                <w:sz w:val="20"/>
                <w:szCs w:val="20"/>
                <w:lang w:val="en-US" w:eastAsia="zh-CN"/>
              </w:rPr>
              <w:t xml:space="preserve">RAN4 to </w:t>
            </w:r>
            <w:r>
              <w:rPr>
                <w:rFonts w:hint="default" w:ascii="Times New Roman" w:hAnsi="Times New Roman" w:cs="Times New Roman"/>
                <w:sz w:val="20"/>
                <w:szCs w:val="20"/>
                <w:lang w:val="en-US"/>
              </w:rPr>
              <w:t>define</w:t>
            </w:r>
            <w:r>
              <w:rPr>
                <w:rFonts w:hint="default" w:ascii="Times New Roman" w:hAnsi="Times New Roman" w:cs="Times New Roman"/>
                <w:sz w:val="20"/>
                <w:szCs w:val="20"/>
                <w:lang w:val="en-US" w:eastAsia="zh-CN"/>
              </w:rPr>
              <w:t xml:space="preserve"> the measurement requirement assuming</w:t>
            </w:r>
            <w:r>
              <w:rPr>
                <w:rFonts w:hint="default" w:ascii="Times New Roman" w:hAnsi="Times New Roman" w:cs="Times New Roman"/>
                <w:sz w:val="20"/>
                <w:szCs w:val="20"/>
                <w:lang w:val="en-US"/>
              </w:rPr>
              <w:t xml:space="preserve"> the </w:t>
            </w:r>
            <w:r>
              <w:rPr>
                <w:rFonts w:hint="default" w:ascii="Times New Roman" w:hAnsi="Times New Roman" w:cs="Times New Roman"/>
                <w:sz w:val="20"/>
                <w:szCs w:val="20"/>
                <w:lang w:val="en-US" w:eastAsia="zh-CN"/>
              </w:rPr>
              <w:t>UE is provided with information of the SBFD configuration of neighboring cells</w:t>
            </w:r>
            <w:r>
              <w:rPr>
                <w:rFonts w:hint="default" w:ascii="Times New Roman" w:hAnsi="Times New Roman" w:cs="Times New Roman"/>
                <w:bCs/>
                <w:sz w:val="20"/>
                <w:szCs w:val="20"/>
                <w:lang w:val="en-US"/>
              </w:rPr>
              <w:t>.</w:t>
            </w:r>
          </w:p>
          <w:p w14:paraId="7C7F277A">
            <w:pPr>
              <w:pStyle w:val="11"/>
              <w:numPr>
                <w:ilvl w:val="3"/>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UE needs to puncture the CSI-RS resources on SBFD symbols in frequency domain when target neighbour cell is a SBFD cell. (CATT, ZTE)</w:t>
            </w:r>
          </w:p>
          <w:p w14:paraId="011B4ED8">
            <w:pPr>
              <w:pStyle w:val="11"/>
              <w:numPr>
                <w:ilvl w:val="3"/>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RAN4 can send LS to RAN2 to ask for supporting the configuration (E///)</w:t>
            </w:r>
          </w:p>
          <w:p w14:paraId="0187AEAE">
            <w:pPr>
              <w:pStyle w:val="11"/>
              <w:numPr>
                <w:ilvl w:val="3"/>
                <w:numId w:val="4"/>
              </w:numPr>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RE-use the conclusion of </w:t>
            </w:r>
            <w:r>
              <w:rPr>
                <w:rFonts w:hint="default" w:ascii="Times New Roman" w:hAnsi="Times New Roman" w:cs="Times New Roman"/>
                <w:sz w:val="20"/>
                <w:szCs w:val="20"/>
              </w:rPr>
              <w:t xml:space="preserve">L1-RSRP/SINR CSI-RS </w:t>
            </w:r>
            <w:r>
              <w:rPr>
                <w:rFonts w:hint="default" w:ascii="Times New Roman" w:hAnsi="Times New Roman" w:eastAsia="宋体" w:cs="Times New Roman"/>
                <w:sz w:val="20"/>
                <w:szCs w:val="20"/>
                <w:lang w:eastAsia="zh-CN"/>
              </w:rPr>
              <w:t>resource in different symbol types</w:t>
            </w:r>
            <w:r>
              <w:rPr>
                <w:rFonts w:hint="default" w:ascii="Times New Roman" w:hAnsi="Times New Roman" w:cs="Times New Roman"/>
                <w:sz w:val="20"/>
                <w:szCs w:val="20"/>
              </w:rPr>
              <w:t xml:space="preserve"> (ZTE)</w:t>
            </w:r>
          </w:p>
          <w:p w14:paraId="6EBEF90D">
            <w:pPr>
              <w:pStyle w:val="11"/>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 xml:space="preserve">Proposal 2 (Samsung, CMCC, HW): </w:t>
            </w:r>
          </w:p>
          <w:p w14:paraId="4CBB5364">
            <w:pPr>
              <w:pStyle w:val="11"/>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DUD case, use the same principle as agreed in last meeting for DU case</w:t>
            </w:r>
          </w:p>
          <w:p w14:paraId="5626625B">
            <w:pPr>
              <w:pStyle w:val="11"/>
              <w:numPr>
                <w:ilvl w:val="3"/>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val="en-US" w:eastAsia="zh-CN"/>
              </w:rPr>
              <w:t xml:space="preserve">UE measurement requirements would be same as in legacy with the condition that all CSI-RS resources configured for measurement are available in </w:t>
            </w:r>
            <w:r>
              <w:rPr>
                <w:rFonts w:hint="default" w:ascii="Times New Roman" w:hAnsi="Times New Roman" w:eastAsia="宋体" w:cs="Times New Roman"/>
                <w:b/>
                <w:sz w:val="20"/>
                <w:szCs w:val="20"/>
                <w:lang w:val="en-US" w:eastAsia="zh-CN"/>
              </w:rPr>
              <w:t>one</w:t>
            </w:r>
            <w:r>
              <w:rPr>
                <w:rFonts w:hint="default" w:ascii="Times New Roman" w:hAnsi="Times New Roman" w:eastAsia="宋体" w:cs="Times New Roman"/>
                <w:sz w:val="20"/>
                <w:szCs w:val="20"/>
                <w:lang w:val="en-US" w:eastAsia="zh-CN"/>
              </w:rPr>
              <w:t xml:space="preserve"> DL subband of SBFD symbols and/or on non-SBFD DL symbols </w:t>
            </w:r>
            <w:r>
              <w:rPr>
                <w:rFonts w:hint="default" w:ascii="Times New Roman" w:hAnsi="Times New Roman" w:eastAsia="宋体" w:cs="Times New Roman"/>
                <w:b/>
                <w:sz w:val="20"/>
                <w:szCs w:val="20"/>
                <w:lang w:val="en-US" w:eastAsia="zh-CN"/>
              </w:rPr>
              <w:t>of the cell transmitting the CSI-RS</w:t>
            </w:r>
            <w:r>
              <w:rPr>
                <w:rFonts w:hint="default" w:ascii="Times New Roman" w:hAnsi="Times New Roman" w:eastAsia="宋体" w:cs="Times New Roman"/>
                <w:sz w:val="20"/>
                <w:szCs w:val="20"/>
                <w:lang w:val="en-US" w:eastAsia="zh-CN"/>
              </w:rPr>
              <w:t>. (HW)</w:t>
            </w:r>
          </w:p>
          <w:p w14:paraId="3154E641">
            <w:pPr>
              <w:pStyle w:val="11"/>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Proposal 3 (MTK):</w:t>
            </w:r>
          </w:p>
          <w:p w14:paraId="598D6FFC">
            <w:pPr>
              <w:pStyle w:val="11"/>
              <w:numPr>
                <w:ilvl w:val="2"/>
                <w:numId w:val="4"/>
              </w:numPr>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RAN4 shall deprioritize CSI-RS based L3 measurements.</w:t>
            </w:r>
          </w:p>
          <w:p w14:paraId="724D8E3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highlight w:val="none"/>
                <w:vertAlign w:val="baseline"/>
                <w:lang w:val="en-US" w:eastAsia="zh-CN"/>
              </w:rPr>
            </w:pPr>
          </w:p>
        </w:tc>
      </w:tr>
    </w:tbl>
    <w:p w14:paraId="084F134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highlight w:val="none"/>
          <w:lang w:val="en-US" w:eastAsia="zh-CN"/>
        </w:rPr>
      </w:pPr>
    </w:p>
    <w:p w14:paraId="5A4E9FC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sz w:val="20"/>
          <w:szCs w:val="20"/>
          <w:lang w:val="en-US" w:eastAsia="zh-CN"/>
        </w:rPr>
      </w:pPr>
      <w:r>
        <w:rPr>
          <w:rFonts w:hint="eastAsia" w:ascii="Times New Roman" w:hAnsi="Times New Roman"/>
          <w:sz w:val="20"/>
          <w:szCs w:val="20"/>
          <w:highlight w:val="none"/>
          <w:lang w:val="en-US" w:eastAsia="zh-CN"/>
        </w:rPr>
        <w:t xml:space="preserve">For the requirements for </w:t>
      </w:r>
      <w:r>
        <w:rPr>
          <w:rFonts w:hint="default" w:ascii="Times New Roman" w:hAnsi="Times New Roman" w:cs="Times New Roman"/>
          <w:sz w:val="20"/>
          <w:szCs w:val="20"/>
        </w:rPr>
        <w:t>CSI-RS based L3 measurement</w:t>
      </w:r>
      <w:r>
        <w:rPr>
          <w:rFonts w:hint="eastAsia" w:ascii="Times New Roman" w:hAnsi="Times New Roman" w:cs="Times New Roman"/>
          <w:sz w:val="20"/>
          <w:szCs w:val="20"/>
          <w:lang w:val="en-US" w:eastAsia="zh-CN"/>
        </w:rPr>
        <w:t>, i</w:t>
      </w:r>
      <w:r>
        <w:rPr>
          <w:rFonts w:hint="eastAsia" w:ascii="Times New Roman" w:hAnsi="Times New Roman"/>
          <w:sz w:val="20"/>
          <w:szCs w:val="20"/>
          <w:highlight w:val="none"/>
          <w:lang w:val="en-US" w:eastAsia="zh-CN"/>
        </w:rPr>
        <w:t xml:space="preserve">n our view, there is no difference between DU case DUD case. For DU case, it was agreed that UE </w:t>
      </w:r>
      <w:r>
        <w:rPr>
          <w:rFonts w:hint="default" w:ascii="Times New Roman" w:hAnsi="Times New Roman" w:cs="Times New Roman"/>
          <w:sz w:val="20"/>
          <w:szCs w:val="20"/>
          <w:lang w:eastAsia="zh-CN"/>
        </w:rPr>
        <w:t>measurement requirements would be same as in legacy with the condition that all CSI-RS resources configured for measurement are available in DL subband of SBFD symbols and/or on non-SBFD DL symbols</w:t>
      </w:r>
      <w:r>
        <w:rPr>
          <w:rFonts w:hint="eastAsia" w:ascii="Times New Roman" w:hAnsi="Times New Roman"/>
          <w:sz w:val="20"/>
          <w:szCs w:val="20"/>
          <w:highlight w:val="none"/>
          <w:lang w:val="en-US" w:eastAsia="zh-CN"/>
        </w:rPr>
        <w:t xml:space="preserve">. The agreements for DU case can be reused for DUD case. In detail, for DUD case, with the condition that </w:t>
      </w:r>
      <w:r>
        <w:rPr>
          <w:rFonts w:hint="default" w:ascii="Times New Roman" w:hAnsi="Times New Roman" w:cs="Times New Roman"/>
          <w:sz w:val="20"/>
          <w:szCs w:val="20"/>
          <w:lang w:eastAsia="zh-CN"/>
        </w:rPr>
        <w:t>all CSI-RS resources configured for measurement are available in DL subband of SBFD symbols and/or on non-SBFD DL symbols</w:t>
      </w:r>
      <w:r>
        <w:rPr>
          <w:rFonts w:hint="eastAsia" w:ascii="Times New Roman" w:hAnsi="Times New Roman" w:cs="Times New Roman"/>
          <w:sz w:val="20"/>
          <w:szCs w:val="20"/>
          <w:lang w:val="en-US" w:eastAsia="zh-CN"/>
        </w:rPr>
        <w:t>, legacy requirements are applied.</w:t>
      </w:r>
    </w:p>
    <w:p w14:paraId="47E8F13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highlight w:val="none"/>
          <w:lang w:val="en-US" w:eastAsia="zh-CN"/>
        </w:rPr>
      </w:pPr>
      <w:r>
        <w:rPr>
          <w:rFonts w:hint="eastAsia" w:ascii="Times New Roman" w:hAnsi="Times New Roman" w:cs="Times New Roman"/>
          <w:b/>
          <w:bCs/>
          <w:i/>
          <w:iCs/>
          <w:sz w:val="20"/>
          <w:szCs w:val="20"/>
          <w:lang w:val="en-US" w:eastAsia="zh-CN"/>
        </w:rPr>
        <w:t xml:space="preserve">Proposal 3: for DUD case, UE measurement requirements would be same as in legacy with the condition that all CSI-RS resources configured for measurement are available in DL subband of SBFD symbols and/or on non-SBFD DL symbols. </w:t>
      </w:r>
      <w:r>
        <w:rPr>
          <w:rFonts w:hint="eastAsia" w:ascii="Times New Roman" w:hAnsi="Times New Roman"/>
          <w:b/>
          <w:bCs/>
          <w:i/>
          <w:iCs/>
          <w:sz w:val="20"/>
          <w:szCs w:val="20"/>
          <w:highlight w:val="none"/>
          <w:lang w:val="en-US" w:eastAsia="zh-CN"/>
        </w:rPr>
        <w:t xml:space="preserve">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7981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355BB21">
            <w:pPr>
              <w:pStyle w:val="5"/>
              <w:tabs>
                <w:tab w:val="left" w:pos="432"/>
                <w:tab w:val="clear" w:pos="864"/>
              </w:tabs>
              <w:rPr>
                <w:rFonts w:hint="default" w:ascii="Times New Roman" w:hAnsi="Times New Roman" w:cs="Times New Roman"/>
                <w:sz w:val="20"/>
                <w:szCs w:val="20"/>
              </w:rPr>
            </w:pPr>
            <w:r>
              <w:rPr>
                <w:rFonts w:hint="default" w:ascii="Times New Roman" w:hAnsi="Times New Roman" w:cs="Times New Roman"/>
                <w:sz w:val="20"/>
                <w:szCs w:val="20"/>
              </w:rPr>
              <w:t xml:space="preserve">Issue 2-1-3: Requirements for scheduling restriction  </w:t>
            </w:r>
          </w:p>
          <w:p w14:paraId="25A1C940">
            <w:pPr>
              <w:pStyle w:val="11"/>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Proposals related to UL/DL transition</w:t>
            </w:r>
          </w:p>
          <w:p w14:paraId="73BDC7DA">
            <w:pPr>
              <w:pStyle w:val="11"/>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 xml:space="preserve">Proposal 1 (CATT, Nokia, E///, CMCC, HW, CTC, MTK): </w:t>
            </w:r>
          </w:p>
          <w:p w14:paraId="223F2767">
            <w:pPr>
              <w:pStyle w:val="11"/>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Do not define new scheduling restriction requirements for DL/UL transition.</w:t>
            </w:r>
          </w:p>
          <w:p w14:paraId="6E9B4BCB">
            <w:pPr>
              <w:pStyle w:val="11"/>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Proposals related to inter-frequency SSB measurement without gap</w:t>
            </w:r>
          </w:p>
          <w:p w14:paraId="408D93DD">
            <w:pPr>
              <w:pStyle w:val="11"/>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 xml:space="preserve">Proposal 1 (vivo, MTK): </w:t>
            </w:r>
          </w:p>
          <w:p w14:paraId="73F45DBA">
            <w:pPr>
              <w:pStyle w:val="11"/>
              <w:numPr>
                <w:ilvl w:val="2"/>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For the UE support Rel-16 inter-frequency measurement without gap, when the neighbor cell SSB is outside DL subband however still within the active BWP, update on existing scheduling restriction is needed </w:t>
            </w:r>
          </w:p>
          <w:p w14:paraId="126E69D8">
            <w:pPr>
              <w:pStyle w:val="11"/>
              <w:numPr>
                <w:ilvl w:val="3"/>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the scheduling restriction in section 9.3.9.4 can be used as a reference (vivo)</w:t>
            </w:r>
          </w:p>
          <w:p w14:paraId="0870253C">
            <w:pPr>
              <w:pStyle w:val="11"/>
              <w:numPr>
                <w:ilvl w:val="3"/>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UE is not required to receive DL in DL subbands on SBFD symbols (MTK)</w:t>
            </w:r>
          </w:p>
          <w:p w14:paraId="79E58F4B">
            <w:pPr>
              <w:pStyle w:val="11"/>
              <w:numPr>
                <w:ilvl w:val="1"/>
                <w:numId w:val="4"/>
              </w:numPr>
              <w:overflowPunct/>
              <w:autoSpaceDE/>
              <w:autoSpaceDN/>
              <w:adjustRightInd/>
              <w:spacing w:after="120"/>
              <w:ind w:left="144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 xml:space="preserve">Proposal 2 (CATT, Nokia, Samsung, HW): </w:t>
            </w:r>
          </w:p>
          <w:p w14:paraId="1AEA2007">
            <w:pPr>
              <w:pStyle w:val="11"/>
              <w:numPr>
                <w:ilvl w:val="2"/>
                <w:numId w:val="4"/>
              </w:numPr>
              <w:spacing w:after="120"/>
              <w:ind w:firstLineChars="0"/>
              <w:rPr>
                <w:rFonts w:hint="default" w:ascii="Times New Roman" w:hAnsi="Times New Roman" w:cs="Times New Roman"/>
                <w:sz w:val="20"/>
                <w:szCs w:val="20"/>
                <w:highlight w:val="none"/>
                <w:vertAlign w:val="baseline"/>
                <w:lang w:val="en-US" w:eastAsia="zh-CN"/>
              </w:rPr>
            </w:pPr>
            <w:r>
              <w:rPr>
                <w:rFonts w:hint="default" w:ascii="Times New Roman" w:hAnsi="Times New Roman" w:eastAsia="宋体" w:cs="Times New Roman"/>
                <w:sz w:val="20"/>
                <w:szCs w:val="20"/>
                <w:lang w:eastAsia="zh-CN"/>
              </w:rPr>
              <w:t xml:space="preserve">RAN4 to use the existing scheduling restriction requirements for inter-frequency SSB measurement without gap as a starting point. </w:t>
            </w:r>
          </w:p>
        </w:tc>
      </w:tr>
    </w:tbl>
    <w:p w14:paraId="37FF88F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highlight w:val="none"/>
          <w:lang w:val="en-US" w:eastAsia="zh-CN"/>
        </w:rPr>
      </w:pPr>
    </w:p>
    <w:p w14:paraId="630A788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There is no scheduling restriciton for legacy L1 measurement, since there is guard period for the DL-to-UL transition. However, guard period is absent during the DL to UL transition. The potential issue is whether scheduling restriction is needed. RAN1 is discussing similar issue, as highlighted in blue as following. To avoid duplicated discussion, the issue can be left to RAN1.</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873E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750D22C">
            <w:pPr>
              <w:rPr>
                <w:rFonts w:hint="default" w:ascii="Times New Roman" w:hAnsi="Times New Roman" w:eastAsia="Malgun Gothic" w:cs="Times New Roman"/>
                <w:bCs/>
                <w:sz w:val="20"/>
                <w:szCs w:val="20"/>
                <w:highlight w:val="green"/>
                <w:lang w:val="en-US" w:eastAsia="zh-CN"/>
              </w:rPr>
            </w:pPr>
            <w:r>
              <w:rPr>
                <w:rFonts w:hint="default" w:ascii="Times New Roman" w:hAnsi="Times New Roman" w:eastAsia="Malgun Gothic" w:cs="Times New Roman"/>
                <w:bCs/>
                <w:sz w:val="20"/>
                <w:szCs w:val="20"/>
                <w:highlight w:val="green"/>
                <w:lang w:eastAsia="zh-CN"/>
              </w:rPr>
              <w:t>Agreement</w:t>
            </w:r>
            <w:r>
              <w:rPr>
                <w:rFonts w:hint="default" w:ascii="Times New Roman" w:hAnsi="Times New Roman" w:eastAsia="Malgun Gothic" w:cs="Times New Roman"/>
                <w:bCs/>
                <w:sz w:val="20"/>
                <w:szCs w:val="20"/>
                <w:highlight w:val="green"/>
                <w:lang w:val="en-US" w:eastAsia="zh-CN"/>
              </w:rPr>
              <w:t>s in RAN1#116 meeting</w:t>
            </w:r>
          </w:p>
          <w:p w14:paraId="669E42D6">
            <w:pPr>
              <w:spacing w:line="252" w:lineRule="auto"/>
              <w:contextualSpacing/>
              <w:rPr>
                <w:rFonts w:hint="default" w:ascii="Times New Roman" w:hAnsi="Times New Roman" w:cs="Times New Roman"/>
                <w:sz w:val="20"/>
                <w:szCs w:val="20"/>
                <w:lang w:eastAsia="zh-CN"/>
              </w:rPr>
            </w:pPr>
            <w:r>
              <w:rPr>
                <w:rFonts w:hint="default" w:ascii="Times New Roman" w:hAnsi="Times New Roman" w:eastAsia="Malgun Gothic" w:cs="Times New Roman"/>
                <w:sz w:val="20"/>
                <w:szCs w:val="20"/>
                <w:lang w:eastAsia="zh-CN"/>
              </w:rPr>
              <w:t>For SBFD-aware UEs, collisions between DL reception in DL subband(s) and UL transmission in UL subband in a SBFD symbol</w:t>
            </w:r>
            <w:r>
              <w:rPr>
                <w:rFonts w:hint="default" w:ascii="Times New Roman" w:hAnsi="Times New Roman" w:cs="Times New Roman"/>
                <w:sz w:val="20"/>
                <w:szCs w:val="20"/>
                <w:lang w:eastAsia="zh-CN"/>
              </w:rPr>
              <w:t xml:space="preserve"> may be addressed or alleviated with proper scheduling.</w:t>
            </w:r>
            <w:r>
              <w:rPr>
                <w:rFonts w:hint="default" w:ascii="Times New Roman" w:hAnsi="Times New Roman" w:eastAsia="Malgun Gothic" w:cs="Times New Roman"/>
                <w:sz w:val="20"/>
                <w:szCs w:val="20"/>
                <w:lang w:eastAsia="zh-CN"/>
              </w:rPr>
              <w:t xml:space="preserve"> </w:t>
            </w:r>
            <w:r>
              <w:rPr>
                <w:rFonts w:hint="default" w:ascii="Times New Roman" w:hAnsi="Times New Roman" w:cs="Times New Roman"/>
                <w:sz w:val="20"/>
                <w:szCs w:val="20"/>
                <w:lang w:eastAsia="zh-CN"/>
              </w:rPr>
              <w:t>The following cases of potential collisions</w:t>
            </w:r>
            <w:r>
              <w:rPr>
                <w:rFonts w:hint="default" w:ascii="Times New Roman" w:hAnsi="Times New Roman" w:eastAsia="Malgun Gothic" w:cs="Times New Roman"/>
                <w:sz w:val="20"/>
                <w:szCs w:val="20"/>
                <w:lang w:eastAsia="zh-CN"/>
              </w:rPr>
              <w:t>, [if link direction indication is not supported or provided],</w:t>
            </w:r>
            <w:r>
              <w:rPr>
                <w:rFonts w:hint="default" w:ascii="Times New Roman" w:hAnsi="Times New Roman" w:cs="Times New Roman"/>
                <w:sz w:val="20"/>
                <w:szCs w:val="20"/>
                <w:lang w:eastAsia="zh-CN"/>
              </w:rPr>
              <w:t xml:space="preserve"> can be further studied to see if any change to the current specs is necessary:</w:t>
            </w:r>
          </w:p>
          <w:p w14:paraId="607708B9">
            <w:pPr>
              <w:numPr>
                <w:ilvl w:val="0"/>
                <w:numId w:val="6"/>
              </w:numPr>
              <w:suppressAutoHyphens/>
              <w:spacing w:line="259" w:lineRule="auto"/>
              <w:jc w:val="both"/>
              <w:rPr>
                <w:rFonts w:hint="default" w:ascii="Times New Roman" w:hAnsi="Times New Roman" w:eastAsia="Malgun Gothic" w:cs="Times New Roman"/>
                <w:bCs/>
                <w:sz w:val="20"/>
                <w:szCs w:val="20"/>
                <w:lang w:eastAsia="zh-CN"/>
              </w:rPr>
            </w:pPr>
            <w:r>
              <w:rPr>
                <w:rFonts w:hint="default" w:ascii="Times New Roman" w:hAnsi="Times New Roman" w:eastAsia="Malgun Gothic" w:cs="Times New Roman"/>
                <w:bCs/>
                <w:sz w:val="20"/>
                <w:szCs w:val="20"/>
                <w:lang w:eastAsia="zh-CN"/>
              </w:rPr>
              <w:t>Case 1: Dynamically scheduled DL reception vs. semi-statically configured UL transmission</w:t>
            </w:r>
          </w:p>
          <w:p w14:paraId="51967A25">
            <w:pPr>
              <w:numPr>
                <w:ilvl w:val="1"/>
                <w:numId w:val="6"/>
              </w:numPr>
              <w:suppressAutoHyphens/>
              <w:spacing w:line="259" w:lineRule="auto"/>
              <w:jc w:val="both"/>
              <w:rPr>
                <w:rFonts w:hint="default" w:ascii="Times New Roman" w:hAnsi="Times New Roman" w:eastAsia="Malgun Gothic" w:cs="Times New Roman"/>
                <w:bCs/>
                <w:sz w:val="20"/>
                <w:szCs w:val="20"/>
                <w:lang w:eastAsia="zh-CN"/>
              </w:rPr>
            </w:pPr>
            <w:r>
              <w:rPr>
                <w:rFonts w:hint="default" w:ascii="Times New Roman" w:hAnsi="Times New Roman" w:eastAsia="Malgun Gothic" w:cs="Times New Roman"/>
                <w:bCs/>
                <w:sz w:val="20"/>
                <w:szCs w:val="20"/>
                <w:lang w:eastAsia="zh-CN"/>
              </w:rPr>
              <w:t>e.g., dynamic PDSCH or CSI-RS collides with configured SRS, PUCCH, or CG PUSCH</w:t>
            </w:r>
          </w:p>
          <w:p w14:paraId="14D8CE96">
            <w:pPr>
              <w:numPr>
                <w:ilvl w:val="0"/>
                <w:numId w:val="6"/>
              </w:numPr>
              <w:suppressAutoHyphens/>
              <w:spacing w:line="259" w:lineRule="auto"/>
              <w:jc w:val="both"/>
              <w:rPr>
                <w:rFonts w:hint="default" w:ascii="Times New Roman" w:hAnsi="Times New Roman" w:eastAsia="Malgun Gothic" w:cs="Times New Roman"/>
                <w:bCs/>
                <w:sz w:val="20"/>
                <w:szCs w:val="20"/>
                <w:lang w:eastAsia="zh-CN"/>
              </w:rPr>
            </w:pPr>
            <w:r>
              <w:rPr>
                <w:rFonts w:hint="default" w:ascii="Times New Roman" w:hAnsi="Times New Roman" w:eastAsia="Malgun Gothic" w:cs="Times New Roman"/>
                <w:bCs/>
                <w:sz w:val="20"/>
                <w:szCs w:val="20"/>
                <w:lang w:eastAsia="zh-CN"/>
              </w:rPr>
              <w:t>Case 2: Semi-statically configured DL reception vs. dynamically scheduled UL transmission</w:t>
            </w:r>
          </w:p>
          <w:p w14:paraId="5C7A0E9B">
            <w:pPr>
              <w:numPr>
                <w:ilvl w:val="1"/>
                <w:numId w:val="6"/>
              </w:numPr>
              <w:suppressAutoHyphens/>
              <w:spacing w:line="259" w:lineRule="auto"/>
              <w:jc w:val="both"/>
              <w:rPr>
                <w:rFonts w:hint="default" w:ascii="Times New Roman" w:hAnsi="Times New Roman" w:eastAsia="Malgun Gothic" w:cs="Times New Roman"/>
                <w:bCs/>
                <w:sz w:val="20"/>
                <w:szCs w:val="20"/>
                <w:lang w:eastAsia="zh-CN"/>
              </w:rPr>
            </w:pPr>
            <w:r>
              <w:rPr>
                <w:rFonts w:hint="default" w:ascii="Times New Roman" w:hAnsi="Times New Roman" w:eastAsia="Malgun Gothic" w:cs="Times New Roman"/>
                <w:bCs/>
                <w:sz w:val="20"/>
                <w:szCs w:val="20"/>
                <w:lang w:eastAsia="zh-CN"/>
              </w:rPr>
              <w:t>e.g., PDCCH or SPS PDSCH collides with dynamic PUSCH or PUCCH</w:t>
            </w:r>
          </w:p>
          <w:p w14:paraId="518F4067">
            <w:pPr>
              <w:numPr>
                <w:ilvl w:val="0"/>
                <w:numId w:val="6"/>
              </w:numPr>
              <w:suppressAutoHyphens/>
              <w:spacing w:line="259" w:lineRule="auto"/>
              <w:jc w:val="both"/>
              <w:rPr>
                <w:rFonts w:hint="default" w:ascii="Times New Roman" w:hAnsi="Times New Roman" w:eastAsia="Malgun Gothic" w:cs="Times New Roman"/>
                <w:bCs/>
                <w:sz w:val="20"/>
                <w:szCs w:val="20"/>
                <w:lang w:eastAsia="zh-CN"/>
              </w:rPr>
            </w:pPr>
            <w:r>
              <w:rPr>
                <w:rFonts w:hint="default" w:ascii="Times New Roman" w:hAnsi="Times New Roman" w:eastAsia="Malgun Gothic" w:cs="Times New Roman"/>
                <w:bCs/>
                <w:sz w:val="20"/>
                <w:szCs w:val="20"/>
                <w:lang w:eastAsia="zh-CN"/>
              </w:rPr>
              <w:t xml:space="preserve">Case 3: Semi-statically configured DL reception vs. semi-statically configured UL transmission  </w:t>
            </w:r>
          </w:p>
          <w:p w14:paraId="7FA67F10">
            <w:pPr>
              <w:numPr>
                <w:ilvl w:val="0"/>
                <w:numId w:val="6"/>
              </w:numPr>
              <w:suppressAutoHyphens/>
              <w:spacing w:line="259" w:lineRule="auto"/>
              <w:jc w:val="both"/>
              <w:rPr>
                <w:rFonts w:hint="default" w:ascii="Times New Roman" w:hAnsi="Times New Roman" w:eastAsia="Malgun Gothic" w:cs="Times New Roman"/>
                <w:bCs/>
                <w:sz w:val="20"/>
                <w:szCs w:val="20"/>
                <w:lang w:eastAsia="zh-CN"/>
              </w:rPr>
            </w:pPr>
            <w:r>
              <w:rPr>
                <w:rFonts w:hint="default" w:ascii="Times New Roman" w:hAnsi="Times New Roman" w:eastAsia="Malgun Gothic" w:cs="Times New Roman"/>
                <w:bCs/>
                <w:sz w:val="20"/>
                <w:szCs w:val="20"/>
                <w:lang w:eastAsia="zh-CN"/>
              </w:rPr>
              <w:t>Case 4: Dynamically scheduled DL reception vs. dynamic scheduled UL transmission</w:t>
            </w:r>
          </w:p>
          <w:p w14:paraId="31658C3D">
            <w:pPr>
              <w:numPr>
                <w:ilvl w:val="0"/>
                <w:numId w:val="6"/>
              </w:numPr>
              <w:suppressAutoHyphens/>
              <w:spacing w:line="259" w:lineRule="auto"/>
              <w:jc w:val="both"/>
              <w:rPr>
                <w:rFonts w:hint="default" w:ascii="Times New Roman" w:hAnsi="Times New Roman" w:eastAsia="Malgun Gothic" w:cs="Times New Roman"/>
                <w:bCs/>
                <w:sz w:val="20"/>
                <w:szCs w:val="20"/>
                <w:lang w:eastAsia="zh-CN"/>
              </w:rPr>
            </w:pPr>
            <w:r>
              <w:rPr>
                <w:rFonts w:hint="default" w:ascii="Times New Roman" w:hAnsi="Times New Roman" w:eastAsia="Malgun Gothic" w:cs="Times New Roman"/>
                <w:bCs/>
                <w:sz w:val="20"/>
                <w:szCs w:val="20"/>
                <w:lang w:eastAsia="zh-CN"/>
              </w:rPr>
              <w:t>Case 5: SSB vs. dynamically scheduled or configured UL transmission</w:t>
            </w:r>
          </w:p>
          <w:p w14:paraId="1FC1CAB7">
            <w:pPr>
              <w:numPr>
                <w:ilvl w:val="1"/>
                <w:numId w:val="6"/>
              </w:numPr>
              <w:suppressAutoHyphens/>
              <w:spacing w:line="259" w:lineRule="auto"/>
              <w:jc w:val="both"/>
              <w:rPr>
                <w:rFonts w:hint="default" w:ascii="Times New Roman" w:hAnsi="Times New Roman" w:eastAsia="Malgun Gothic" w:cs="Times New Roman"/>
                <w:bCs/>
                <w:sz w:val="20"/>
                <w:szCs w:val="20"/>
                <w:lang w:val="de-DE" w:eastAsia="zh-CN"/>
              </w:rPr>
            </w:pPr>
            <w:r>
              <w:rPr>
                <w:rFonts w:hint="default" w:ascii="Times New Roman" w:hAnsi="Times New Roman" w:eastAsia="Malgun Gothic" w:cs="Times New Roman"/>
                <w:bCs/>
                <w:sz w:val="20"/>
                <w:szCs w:val="20"/>
                <w:lang w:val="de-DE" w:eastAsia="zh-CN"/>
              </w:rPr>
              <w:t>e.g., PUSCH, PUCCH, PRACH, SRS</w:t>
            </w:r>
          </w:p>
          <w:p w14:paraId="688A9E0D">
            <w:pPr>
              <w:numPr>
                <w:ilvl w:val="0"/>
                <w:numId w:val="6"/>
              </w:numPr>
              <w:suppressAutoHyphens/>
              <w:spacing w:line="259" w:lineRule="auto"/>
              <w:jc w:val="both"/>
              <w:rPr>
                <w:rFonts w:hint="default" w:ascii="Times New Roman" w:hAnsi="Times New Roman" w:eastAsia="Malgun Gothic" w:cs="Times New Roman"/>
                <w:bCs/>
                <w:sz w:val="20"/>
                <w:szCs w:val="20"/>
                <w:lang w:eastAsia="zh-CN"/>
              </w:rPr>
            </w:pPr>
            <w:r>
              <w:rPr>
                <w:rFonts w:hint="default" w:ascii="Times New Roman" w:hAnsi="Times New Roman" w:eastAsia="Malgun Gothic" w:cs="Times New Roman"/>
                <w:bCs/>
                <w:sz w:val="20"/>
                <w:szCs w:val="20"/>
                <w:lang w:eastAsia="zh-CN"/>
              </w:rPr>
              <w:t>Case 6: Dynamic or semi-static DL vs. valid RO</w:t>
            </w:r>
          </w:p>
          <w:p w14:paraId="1227E7EE">
            <w:pPr>
              <w:tabs>
                <w:tab w:val="left" w:pos="0"/>
              </w:tabs>
              <w:rPr>
                <w:rFonts w:hint="default" w:ascii="Times New Roman" w:hAnsi="Times New Roman" w:eastAsia="Malgun Gothic" w:cs="Times New Roman"/>
                <w:bCs/>
                <w:strike/>
                <w:sz w:val="20"/>
                <w:szCs w:val="20"/>
                <w:lang w:eastAsia="zh-CN"/>
              </w:rPr>
            </w:pPr>
            <w:r>
              <w:rPr>
                <w:rFonts w:hint="default" w:ascii="Times New Roman" w:hAnsi="Times New Roman" w:eastAsia="Malgun Gothic" w:cs="Times New Roman"/>
                <w:bCs/>
                <w:sz w:val="20"/>
                <w:szCs w:val="20"/>
                <w:lang w:eastAsia="zh-CN"/>
              </w:rPr>
              <w:t xml:space="preserve">Note: In addition to collision between UL transmission and DL reception in the same SBFD symbol(s), </w:t>
            </w:r>
            <w:r>
              <w:rPr>
                <w:rFonts w:hint="default" w:ascii="Times New Roman" w:hAnsi="Times New Roman" w:eastAsia="Malgun Gothic" w:cs="Times New Roman"/>
                <w:bCs/>
                <w:sz w:val="20"/>
                <w:szCs w:val="20"/>
                <w:highlight w:val="cyan"/>
                <w:lang w:eastAsia="zh-CN"/>
              </w:rPr>
              <w:t>collision between UL transmission and DL reception in different symbol(s) due to lack of sufficient transition time between Tx/Rx at UE side is also included.</w:t>
            </w:r>
          </w:p>
          <w:p w14:paraId="029C359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p>
        </w:tc>
      </w:tr>
    </w:tbl>
    <w:p w14:paraId="31ECF02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lang w:val="en-US" w:eastAsia="zh-CN"/>
        </w:rPr>
      </w:pPr>
    </w:p>
    <w:p w14:paraId="288DBA5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cs="Times New Roman"/>
          <w:b/>
          <w:bCs/>
          <w:i/>
          <w:iCs/>
          <w:sz w:val="20"/>
          <w:szCs w:val="20"/>
          <w:lang w:val="en-US" w:eastAsia="zh-CN"/>
        </w:rPr>
        <w:t>Proposal 4: it is proposed that RAN4 scheduling restriction requirement is not needed for DL/UL transition.</w:t>
      </w:r>
    </w:p>
    <w:bookmarkEnd w:id="6"/>
    <w:bookmarkEnd w:id="7"/>
    <w:p w14:paraId="0C1E7B55">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041060E1">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lang w:val="en-US" w:eastAsia="zh-CN"/>
        </w:rPr>
        <w:t>RRM requirements for SBFD</w:t>
      </w:r>
      <w:r>
        <w:rPr>
          <w:rFonts w:hint="eastAsia" w:ascii="Times New Roman" w:hAnsi="Times New Roman"/>
          <w:sz w:val="20"/>
          <w:szCs w:val="20"/>
          <w:highlight w:val="none"/>
        </w:rPr>
        <w:t>. The proposals are:</w:t>
      </w:r>
    </w:p>
    <w:p w14:paraId="5D5CCE2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highlight w:val="none"/>
          <w:lang w:val="en-US" w:eastAsia="zh-CN"/>
        </w:rPr>
      </w:pPr>
      <w:r>
        <w:rPr>
          <w:rFonts w:hint="eastAsia" w:ascii="Times New Roman" w:hAnsi="Times New Roman"/>
          <w:b/>
          <w:bCs/>
          <w:i/>
          <w:iCs/>
          <w:sz w:val="20"/>
          <w:szCs w:val="20"/>
          <w:highlight w:val="none"/>
          <w:lang w:val="en-US" w:eastAsia="zh-CN"/>
        </w:rPr>
        <w:t xml:space="preserve">Proposal 1: for UE indicating that CSI processing time is scaled by 2, it is proposed to add a lower bound of 8ms on top of existing CSI-RS based L1 measurement period, </w:t>
      </w:r>
      <w:r>
        <w:rPr>
          <w:rFonts w:hint="eastAsia" w:ascii="Times New Roman" w:hAnsi="Times New Roman" w:cs="Times New Roman"/>
          <w:b/>
          <w:bCs/>
          <w:i/>
          <w:iCs/>
          <w:sz w:val="20"/>
          <w:szCs w:val="20"/>
          <w:lang w:val="en-US" w:eastAsia="zh-CN"/>
        </w:rPr>
        <w:t xml:space="preserve">e.g. max (8ms, </w:t>
      </w:r>
      <w:r>
        <w:rPr>
          <w:rFonts w:hint="default" w:ascii="Times New Roman" w:hAnsi="Times New Roman" w:cs="Times New Roman"/>
          <w:b/>
          <w:bCs/>
          <w:i/>
          <w:iCs/>
          <w:sz w:val="20"/>
          <w:szCs w:val="20"/>
        </w:rPr>
        <w:t>T</w:t>
      </w:r>
      <w:r>
        <w:rPr>
          <w:rFonts w:hint="default" w:ascii="Times New Roman" w:hAnsi="Times New Roman" w:cs="Times New Roman"/>
          <w:b/>
          <w:bCs/>
          <w:i/>
          <w:iCs/>
          <w:sz w:val="20"/>
          <w:szCs w:val="20"/>
          <w:vertAlign w:val="subscript"/>
        </w:rPr>
        <w:t>Report</w:t>
      </w:r>
      <w:r>
        <w:rPr>
          <w:rFonts w:hint="default" w:ascii="Times New Roman" w:hAnsi="Times New Roman" w:cs="Times New Roman"/>
          <w:b/>
          <w:bCs/>
          <w:i/>
          <w:iCs/>
          <w:sz w:val="20"/>
          <w:szCs w:val="20"/>
        </w:rPr>
        <w:t>, ceil(M*P)*T</w:t>
      </w:r>
      <w:r>
        <w:rPr>
          <w:rFonts w:hint="default" w:ascii="Times New Roman" w:hAnsi="Times New Roman" w:cs="Times New Roman"/>
          <w:b/>
          <w:bCs/>
          <w:i/>
          <w:iCs/>
          <w:sz w:val="20"/>
          <w:szCs w:val="20"/>
          <w:vertAlign w:val="subscript"/>
        </w:rPr>
        <w:t>CSI-RS</w:t>
      </w:r>
      <w:r>
        <w:rPr>
          <w:rFonts w:hint="eastAsia" w:ascii="Times New Roman" w:hAnsi="Times New Roman" w:cs="Times New Roman"/>
          <w:b/>
          <w:bCs/>
          <w:i/>
          <w:iCs/>
          <w:sz w:val="20"/>
          <w:szCs w:val="20"/>
          <w:lang w:val="en-US" w:eastAsia="zh-CN"/>
        </w:rPr>
        <w:t>)</w:t>
      </w:r>
      <w:r>
        <w:rPr>
          <w:rFonts w:hint="eastAsia" w:ascii="Times New Roman" w:hAnsi="Times New Roman"/>
          <w:b/>
          <w:bCs/>
          <w:i/>
          <w:iCs/>
          <w:sz w:val="20"/>
          <w:szCs w:val="20"/>
          <w:highlight w:val="none"/>
          <w:lang w:val="en-US" w:eastAsia="zh-CN"/>
        </w:rPr>
        <w:t xml:space="preserve"> for non-DRX case.</w:t>
      </w:r>
    </w:p>
    <w:p w14:paraId="534069A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i/>
          <w:iCs/>
          <w:sz w:val="20"/>
          <w:szCs w:val="20"/>
          <w:highlight w:val="none"/>
          <w:lang w:val="en-US" w:eastAsia="zh-CN"/>
        </w:rPr>
      </w:pPr>
      <w:r>
        <w:rPr>
          <w:rFonts w:hint="eastAsia" w:ascii="Times New Roman" w:hAnsi="Times New Roman" w:cs="Times New Roman"/>
          <w:b/>
          <w:bCs/>
          <w:i/>
          <w:iCs/>
          <w:sz w:val="20"/>
          <w:szCs w:val="20"/>
          <w:highlight w:val="none"/>
          <w:lang w:val="en-US" w:eastAsia="zh-CN"/>
        </w:rPr>
        <w:t>Proposal 2: it is proposed that measurement period for CSI-RS based L1-RSRP/L1-SINR is extended by excluding resource occasions on invalid symbol following the R16 NR-U approach.</w:t>
      </w:r>
    </w:p>
    <w:p w14:paraId="0B8C3BF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highlight w:val="none"/>
          <w:lang w:val="en-US" w:eastAsia="zh-CN"/>
        </w:rPr>
      </w:pPr>
      <w:r>
        <w:rPr>
          <w:rFonts w:hint="eastAsia" w:ascii="Times New Roman" w:hAnsi="Times New Roman" w:cs="Times New Roman"/>
          <w:b/>
          <w:bCs/>
          <w:i/>
          <w:iCs/>
          <w:sz w:val="20"/>
          <w:szCs w:val="20"/>
          <w:lang w:val="en-US" w:eastAsia="zh-CN"/>
        </w:rPr>
        <w:t xml:space="preserve">Proposal 3: for DUD case, UE measurement requirements would be same as in legacy with the condition that all CSI-RS resources configured for measurement are available in DL subband of SBFD symbols and/or on non-SBFD DL symbols. </w:t>
      </w:r>
      <w:r>
        <w:rPr>
          <w:rFonts w:hint="eastAsia" w:ascii="Times New Roman" w:hAnsi="Times New Roman"/>
          <w:b/>
          <w:bCs/>
          <w:i/>
          <w:iCs/>
          <w:sz w:val="20"/>
          <w:szCs w:val="20"/>
          <w:highlight w:val="none"/>
          <w:lang w:val="en-US" w:eastAsia="zh-CN"/>
        </w:rPr>
        <w:t xml:space="preserve"> </w:t>
      </w:r>
    </w:p>
    <w:p w14:paraId="5122357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cs="Times New Roman"/>
          <w:b/>
          <w:bCs/>
          <w:i/>
          <w:iCs/>
          <w:sz w:val="20"/>
          <w:szCs w:val="20"/>
          <w:lang w:val="en-US" w:eastAsia="zh-CN"/>
        </w:rPr>
        <w:t>Proposal 4: it is proposed that RAN4 scheduling restriction requirement is not needed for DL/UL transition.</w:t>
      </w:r>
    </w:p>
    <w:p w14:paraId="1EA88D10">
      <w:pPr>
        <w:tabs>
          <w:tab w:val="left" w:pos="1134"/>
        </w:tabs>
        <w:spacing w:after="180" w:line="240" w:lineRule="exact"/>
        <w:rPr>
          <w:rFonts w:hint="eastAsia" w:ascii="Times New Roman" w:hAnsi="Times New Roman"/>
          <w:sz w:val="20"/>
          <w:szCs w:val="20"/>
          <w:highlight w:val="none"/>
        </w:rPr>
      </w:pPr>
    </w:p>
    <w:p w14:paraId="3B8E6F76">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B7D5DA1">
      <w:pPr>
        <w:pStyle w:val="12"/>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41614</w:t>
      </w:r>
      <w:r>
        <w:rPr>
          <w:rFonts w:ascii="Times" w:hAnsi="Times" w:eastAsia="宋体"/>
          <w:b w:val="0"/>
          <w:sz w:val="20"/>
          <w:lang w:eastAsia="zh-CN"/>
        </w:rPr>
        <w:t xml:space="preserve">, </w:t>
      </w:r>
      <w:r>
        <w:rPr>
          <w:rFonts w:hint="eastAsia" w:ascii="Times" w:hAnsi="Times" w:eastAsia="宋体"/>
          <w:b w:val="0"/>
          <w:sz w:val="20"/>
          <w:lang w:eastAsia="zh-CN"/>
        </w:rPr>
        <w:t>Revised WID: Evolution of NR duplex operation: Sub-band full duplex (SBFD)</w:t>
      </w:r>
    </w:p>
    <w:p w14:paraId="23420081">
      <w:pPr>
        <w:pStyle w:val="12"/>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R4-2504904</w:t>
      </w:r>
      <w:r>
        <w:rPr>
          <w:rFonts w:hint="eastAsia" w:ascii="Times" w:hAnsi="Times" w:eastAsia="宋体"/>
          <w:b w:val="0"/>
          <w:sz w:val="20"/>
          <w:lang w:val="en-US" w:eastAsia="zh-CN"/>
        </w:rPr>
        <w:t>, WF on RRM requirements for NR_duplex_evo, Huawei, HiSilicon</w:t>
      </w:r>
    </w:p>
    <w:p w14:paraId="3FD02C23">
      <w:pPr>
        <w:pStyle w:val="12"/>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R4-2504480</w:t>
      </w:r>
      <w:r>
        <w:rPr>
          <w:rFonts w:hint="eastAsia" w:ascii="Times" w:hAnsi="Times" w:eastAsia="宋体"/>
          <w:b w:val="0"/>
          <w:sz w:val="20"/>
          <w:lang w:val="en-US" w:eastAsia="zh-CN"/>
        </w:rPr>
        <w:t>, Discussion on SBFD Operation, MediaTek inc.</w:t>
      </w:r>
    </w:p>
    <w:p w14:paraId="1ABE0EC1">
      <w:pPr>
        <w:pStyle w:val="12"/>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w:t>
      </w:r>
      <w:r>
        <w:rPr>
          <w:rFonts w:hint="eastAsia" w:ascii="Times" w:hAnsi="Times" w:eastAsia="宋体"/>
          <w:b w:val="0"/>
          <w:sz w:val="20"/>
          <w:lang w:val="en-US" w:eastAsia="zh-CN"/>
        </w:rPr>
        <w:t>20097, WF on RRM requirements for NR_duplex_evo, Huawei, HiSilicon</w:t>
      </w:r>
    </w:p>
    <w:p w14:paraId="3227DA36">
      <w:pPr>
        <w:pStyle w:val="12"/>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R4-2416858</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NR_duplex_evo</w:t>
      </w:r>
      <w:r>
        <w:rPr>
          <w:rFonts w:hint="eastAsia" w:ascii="Times" w:hAnsi="Times" w:eastAsia="宋体"/>
          <w:b w:val="0"/>
          <w:sz w:val="20"/>
          <w:lang w:val="en-US" w:eastAsia="zh-CN"/>
        </w:rPr>
        <w:t>, Huawei, HiSilicon</w:t>
      </w:r>
    </w:p>
    <w:p w14:paraId="2BDD2C6C">
      <w:pPr>
        <w:pStyle w:val="12"/>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 xml:space="preserve">3900, </w:t>
      </w:r>
      <w:r>
        <w:rPr>
          <w:rFonts w:hint="eastAsia" w:ascii="Times" w:hAnsi="Times" w:eastAsia="宋体"/>
          <w:b w:val="0"/>
          <w:sz w:val="20"/>
          <w:lang w:eastAsia="zh-CN"/>
        </w:rPr>
        <w:t>WF on SBFD RRM</w:t>
      </w:r>
      <w:r>
        <w:rPr>
          <w:rFonts w:hint="eastAsia" w:ascii="Times" w:hAnsi="Times" w:eastAsia="宋体"/>
          <w:b w:val="0"/>
          <w:sz w:val="20"/>
          <w:lang w:val="en-US" w:eastAsia="zh-CN"/>
        </w:rPr>
        <w:t>, Huawei, HiSilicon</w:t>
      </w:r>
    </w:p>
    <w:p w14:paraId="709046E9">
      <w:pPr>
        <w:pStyle w:val="12"/>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R4-2416910</w:t>
      </w:r>
      <w:r>
        <w:rPr>
          <w:rFonts w:hint="eastAsia" w:ascii="Times" w:hAnsi="Times" w:eastAsia="宋体"/>
          <w:b w:val="0"/>
          <w:sz w:val="20"/>
          <w:lang w:val="en-US" w:eastAsia="zh-CN"/>
        </w:rPr>
        <w:t xml:space="preserve">, </w:t>
      </w:r>
      <w:r>
        <w:rPr>
          <w:rFonts w:hint="eastAsia" w:ascii="Times" w:hAnsi="Times" w:eastAsia="宋体"/>
          <w:b w:val="0"/>
          <w:sz w:val="20"/>
          <w:lang w:eastAsia="zh-CN"/>
        </w:rPr>
        <w:t>Simulation assumption for evaluate L1- SRS-RSRP measurement requirements</w:t>
      </w:r>
      <w:r>
        <w:rPr>
          <w:rFonts w:hint="eastAsia" w:ascii="Times" w:hAnsi="Times" w:eastAsia="宋体"/>
          <w:b w:val="0"/>
          <w:sz w:val="20"/>
          <w:lang w:val="en-US" w:eastAsia="zh-CN"/>
        </w:rPr>
        <w:t>, Ericsson</w:t>
      </w:r>
    </w:p>
    <w:p w14:paraId="26DE4C71">
      <w:pPr>
        <w:pStyle w:val="12"/>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hint="eastAsia" w:ascii="Times" w:hAnsi="Times" w:eastAsia="宋体"/>
          <w:b w:val="0"/>
          <w:sz w:val="20"/>
          <w:lang w:eastAsia="zh-CN"/>
        </w:rPr>
      </w:pPr>
      <w:r>
        <w:rPr>
          <w:rFonts w:hint="eastAsia" w:ascii="Times" w:hAnsi="Times" w:eastAsia="宋体"/>
          <w:b w:val="0"/>
          <w:sz w:val="20"/>
          <w:lang w:eastAsia="zh-CN"/>
        </w:rPr>
        <w:t>R4-2420165</w:t>
      </w:r>
      <w:r>
        <w:rPr>
          <w:rFonts w:hint="eastAsia" w:ascii="Times" w:hAnsi="Times" w:eastAsia="宋体"/>
          <w:b w:val="0"/>
          <w:sz w:val="20"/>
          <w:lang w:val="en-US" w:eastAsia="zh-CN"/>
        </w:rPr>
        <w:t>, LS on CSI-RS measurement with SBFD operation</w:t>
      </w:r>
    </w:p>
    <w:p w14:paraId="3C5A19F3">
      <w:pPr>
        <w:pStyle w:val="12"/>
        <w:keepNext w:val="0"/>
        <w:keepLines w:val="0"/>
        <w:pageBreakBefore w:val="0"/>
        <w:framePr w:wrap="auto" w:vAnchor="margin" w:hAnchor="text" w:yAlign="inline"/>
        <w:widowControl w:val="0"/>
        <w:numPr>
          <w:ilvl w:val="0"/>
          <w:numId w:val="7"/>
        </w:numPr>
        <w:kinsoku/>
        <w:wordWrap/>
        <w:overflowPunct w:val="0"/>
        <w:topLinePunct w:val="0"/>
        <w:autoSpaceDE w:val="0"/>
        <w:autoSpaceDN w:val="0"/>
        <w:bidi w:val="0"/>
        <w:adjustRightInd w:val="0"/>
        <w:snapToGrid/>
        <w:spacing w:line="240" w:lineRule="auto"/>
        <w:ind w:right="403"/>
        <w:jc w:val="both"/>
        <w:textAlignment w:val="baseline"/>
        <w:rPr>
          <w:rFonts w:hint="eastAsia" w:ascii="Times" w:hAnsi="Times" w:eastAsia="宋体"/>
          <w:b w:val="0"/>
          <w:sz w:val="20"/>
          <w:lang w:eastAsia="zh-CN"/>
        </w:rPr>
      </w:pPr>
      <w:r>
        <w:rPr>
          <w:rFonts w:hint="eastAsia" w:ascii="Times" w:hAnsi="Times" w:eastAsia="宋体"/>
          <w:b w:val="0"/>
          <w:sz w:val="20"/>
          <w:lang w:val="en-GB" w:eastAsia="zh-CN"/>
        </w:rPr>
        <w:t>R1-2501560</w:t>
      </w:r>
      <w:r>
        <w:rPr>
          <w:rFonts w:hint="eastAsia" w:ascii="Times" w:hAnsi="Times" w:eastAsia="宋体"/>
          <w:b w:val="0"/>
          <w:sz w:val="20"/>
          <w:lang w:val="en-US" w:eastAsia="zh-CN"/>
        </w:rPr>
        <w:t xml:space="preserve">, </w:t>
      </w:r>
      <w:r>
        <w:rPr>
          <w:rFonts w:hint="eastAsia" w:ascii="Times" w:hAnsi="Times" w:eastAsia="宋体"/>
          <w:b w:val="0"/>
          <w:sz w:val="20"/>
          <w:lang w:eastAsia="zh-CN"/>
        </w:rPr>
        <w:t>Reply LS on CSI-RS measurement with SBFD operation</w:t>
      </w:r>
    </w:p>
    <w:p w14:paraId="674F1AEA">
      <w:pPr>
        <w:pStyle w:val="12"/>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ascii="Times" w:hAnsi="Times" w:eastAsia="宋体"/>
          <w:b w:val="0"/>
          <w:sz w:val="20"/>
          <w:lang w:eastAsia="zh-CN"/>
        </w:rPr>
      </w:pPr>
    </w:p>
    <w:p w14:paraId="68104E7E">
      <w:pPr>
        <w:pStyle w:val="12"/>
        <w:framePr w:wrap="auto" w:vAnchor="margin" w:hAnchor="text" w:yAlign="inline"/>
        <w:ind w:right="400"/>
        <w:jc w:val="both"/>
        <w:rPr>
          <w:rFonts w:ascii="Times" w:hAnsi="Times" w:eastAsia="宋体"/>
          <w:b w:val="0"/>
          <w:sz w:val="20"/>
          <w:lang w:eastAsia="zh-CN"/>
        </w:rPr>
      </w:pPr>
    </w:p>
    <w:p w14:paraId="5A7C7F1E">
      <w:pPr>
        <w:pStyle w:val="12"/>
        <w:framePr w:wrap="auto" w:vAnchor="margin" w:hAnchor="text" w:yAlign="inline"/>
        <w:ind w:right="400"/>
        <w:jc w:val="both"/>
        <w:rPr>
          <w:rFonts w:hint="eastAsia" w:ascii="Times" w:hAnsi="Times" w:eastAsia="宋体"/>
          <w:b w:val="0"/>
          <w:sz w:val="20"/>
          <w:lang w:val="en-US" w:eastAsia="zh-CN"/>
        </w:rPr>
      </w:pPr>
    </w:p>
    <w:p w14:paraId="383FCF5C"/>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Yu Mincho">
    <w:altName w:val="Yu Gothic UI"/>
    <w:panose1 w:val="00000000000000000000"/>
    <w:charset w:val="80"/>
    <w:family w:val="roman"/>
    <w:pitch w:val="default"/>
    <w:sig w:usb0="00000000" w:usb1="00000000" w:usb2="00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2745B"/>
    <w:multiLevelType w:val="multilevel"/>
    <w:tmpl w:val="000274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A3C15DD"/>
    <w:multiLevelType w:val="multilevel"/>
    <w:tmpl w:val="1A3C15D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
    <w:nsid w:val="1DF322EC"/>
    <w:multiLevelType w:val="multilevel"/>
    <w:tmpl w:val="1DF322EC"/>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1E9EF811"/>
    <w:multiLevelType w:val="singleLevel"/>
    <w:tmpl w:val="1E9EF811"/>
    <w:lvl w:ilvl="0" w:tentative="0">
      <w:start w:val="1"/>
      <w:numFmt w:val="decimal"/>
      <w:suff w:val="space"/>
      <w:lvlText w:val="[%1]"/>
      <w:lvlJc w:val="left"/>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8"/>
      <w:numFmt w:val="bullet"/>
      <w:lvlText w:val="-"/>
      <w:lvlJc w:val="left"/>
      <w:pPr>
        <w:ind w:left="1800" w:hanging="360"/>
      </w:pPr>
      <w:rPr>
        <w:rFonts w:hint="default" w:ascii="Times New Roman" w:hAnsi="Times New Roman" w:eastAsia="Times New Roman"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6"/>
  </w:num>
  <w:num w:numId="2">
    <w:abstractNumId w:val="4"/>
  </w:num>
  <w:num w:numId="3">
    <w:abstractNumId w:val="2"/>
  </w:num>
  <w:num w:numId="4">
    <w:abstractNumId w:val="5"/>
  </w:num>
  <w:num w:numId="5">
    <w:abstractNumId w:val="1"/>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51B66"/>
    <w:rsid w:val="00920750"/>
    <w:rsid w:val="01AB352E"/>
    <w:rsid w:val="03211769"/>
    <w:rsid w:val="038E44DF"/>
    <w:rsid w:val="03EC66E4"/>
    <w:rsid w:val="076D749F"/>
    <w:rsid w:val="08A22BBA"/>
    <w:rsid w:val="0B640E1B"/>
    <w:rsid w:val="0D3254B2"/>
    <w:rsid w:val="0D500C64"/>
    <w:rsid w:val="0DF02A51"/>
    <w:rsid w:val="0E367C5D"/>
    <w:rsid w:val="11F94FA6"/>
    <w:rsid w:val="12236F4E"/>
    <w:rsid w:val="13983317"/>
    <w:rsid w:val="13EB7D4A"/>
    <w:rsid w:val="16BD7EC5"/>
    <w:rsid w:val="177E1C99"/>
    <w:rsid w:val="208805ED"/>
    <w:rsid w:val="22BE570A"/>
    <w:rsid w:val="235C138F"/>
    <w:rsid w:val="273B0231"/>
    <w:rsid w:val="28341582"/>
    <w:rsid w:val="295F6AE4"/>
    <w:rsid w:val="2A96090D"/>
    <w:rsid w:val="2AE87872"/>
    <w:rsid w:val="2B400609"/>
    <w:rsid w:val="2D9F466B"/>
    <w:rsid w:val="2F513F2E"/>
    <w:rsid w:val="2F6B28DA"/>
    <w:rsid w:val="300E33E8"/>
    <w:rsid w:val="30751E69"/>
    <w:rsid w:val="30843362"/>
    <w:rsid w:val="30B7352F"/>
    <w:rsid w:val="3187194F"/>
    <w:rsid w:val="31E51409"/>
    <w:rsid w:val="33A12F47"/>
    <w:rsid w:val="34565795"/>
    <w:rsid w:val="36787036"/>
    <w:rsid w:val="374259B8"/>
    <w:rsid w:val="39BB3AC3"/>
    <w:rsid w:val="39E80B55"/>
    <w:rsid w:val="3BD17677"/>
    <w:rsid w:val="40C377CE"/>
    <w:rsid w:val="44D876A4"/>
    <w:rsid w:val="457C5F26"/>
    <w:rsid w:val="46A2162C"/>
    <w:rsid w:val="487E0D7E"/>
    <w:rsid w:val="4C3E1197"/>
    <w:rsid w:val="518B6458"/>
    <w:rsid w:val="54617E7D"/>
    <w:rsid w:val="55FF20BC"/>
    <w:rsid w:val="57DC1308"/>
    <w:rsid w:val="61947FF7"/>
    <w:rsid w:val="65F865AE"/>
    <w:rsid w:val="67F97B21"/>
    <w:rsid w:val="6BC309B6"/>
    <w:rsid w:val="6CC65E44"/>
    <w:rsid w:val="6D814618"/>
    <w:rsid w:val="6E4A5DE9"/>
    <w:rsid w:val="6F92569A"/>
    <w:rsid w:val="75321A53"/>
    <w:rsid w:val="767201E1"/>
    <w:rsid w:val="78690185"/>
    <w:rsid w:val="789B773D"/>
    <w:rsid w:val="78EC3F82"/>
    <w:rsid w:val="7B7E3C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99"/>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9">
    <w:name w:val="Table Grid"/>
    <w:basedOn w:val="8"/>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qFormat/>
    <w:uiPriority w:val="34"/>
    <w:pPr>
      <w:widowControl/>
      <w:ind w:firstLine="420" w:firstLineChars="200"/>
      <w:jc w:val="left"/>
    </w:pPr>
    <w:rPr>
      <w:rFonts w:ascii="宋体" w:hAnsi="宋体"/>
      <w:kern w:val="0"/>
    </w:rPr>
  </w:style>
  <w:style w:type="paragraph" w:customStyle="1" w:styleId="1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3">
    <w:name w:val="TH"/>
    <w:basedOn w:val="1"/>
    <w:qFormat/>
    <w:uiPriority w:val="0"/>
    <w:pPr>
      <w:keepNext/>
      <w:keepLines/>
      <w:spacing w:before="60"/>
      <w:jc w:val="center"/>
    </w:pPr>
    <w:rPr>
      <w:rFonts w:ascii="Arial" w:hAnsi="Arial"/>
      <w:b/>
    </w:rPr>
  </w:style>
  <w:style w:type="paragraph" w:customStyle="1" w:styleId="14">
    <w:name w:val="TAH"/>
    <w:basedOn w:val="15"/>
    <w:qFormat/>
    <w:uiPriority w:val="0"/>
    <w:rPr>
      <w:b/>
    </w:rPr>
  </w:style>
  <w:style w:type="paragraph" w:customStyle="1" w:styleId="15">
    <w:name w:val="TAC"/>
    <w:basedOn w:val="16"/>
    <w:qFormat/>
    <w:uiPriority w:val="0"/>
    <w:pPr>
      <w:jc w:val="center"/>
    </w:pPr>
  </w:style>
  <w:style w:type="paragraph" w:customStyle="1" w:styleId="16">
    <w:name w:val="TAL"/>
    <w:basedOn w:val="1"/>
    <w:qFormat/>
    <w:uiPriority w:val="0"/>
    <w:pPr>
      <w:keepNext/>
      <w:keepLines/>
      <w:spacing w:after="0"/>
    </w:pPr>
    <w:rPr>
      <w:rFonts w:ascii="Arial" w:hAnsi="Arial"/>
      <w:sz w:val="18"/>
    </w:rPr>
  </w:style>
  <w:style w:type="paragraph" w:customStyle="1" w:styleId="17">
    <w:name w:val="TAN"/>
    <w:basedOn w:val="16"/>
    <w:qFormat/>
    <w:uiPriority w:val="0"/>
    <w:pPr>
      <w:ind w:left="851" w:hanging="851"/>
    </w:pPr>
  </w:style>
  <w:style w:type="paragraph" w:customStyle="1" w:styleId="1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2024-11-01T08:46:00Z</dcterms:created>
  <dc:creator>cmcc</dc:creator>
  <cp:lastModifiedBy>Jingjing Chen_CMCC</cp:lastModifiedBy>
  <dcterms:modified xsi:type="dcterms:W3CDTF">2025-05-09T08:22:25Z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D7914810C25943A9B23237FB063E3B17</vt:lpwstr>
  </property>
</Properties>
</file>